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FD7C82">
      <w:pPr>
        <w:jc w:val="center"/>
        <w:rPr>
          <w:rStyle w:val="nfase"/>
          <w:rFonts w:ascii="Arial" w:hAnsi="Arial" w:cs="Arial"/>
          <w:b/>
          <w:i w:val="0"/>
          <w:sz w:val="22"/>
          <w:szCs w:val="22"/>
        </w:rPr>
      </w:pPr>
    </w:p>
    <w:p w14:paraId="02437A2A" w14:textId="308761C1"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F76498">
        <w:rPr>
          <w:rStyle w:val="nfase"/>
          <w:rFonts w:ascii="Arial" w:hAnsi="Arial" w:cs="Arial"/>
          <w:i w:val="0"/>
          <w:sz w:val="32"/>
          <w:szCs w:val="32"/>
        </w:rPr>
        <w:t>90005/2024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5B959B12" w14:textId="7BEAE851" w:rsidR="00741A3A" w:rsidRPr="00741A3A" w:rsidRDefault="00741A3A" w:rsidP="00741A3A">
      <w:pPr>
        <w:autoSpaceDE w:val="0"/>
        <w:autoSpaceDN w:val="0"/>
        <w:adjustRightInd w:val="0"/>
        <w:ind w:left="284"/>
        <w:jc w:val="both"/>
        <w:rPr>
          <w:rFonts w:ascii="Arial" w:hAnsi="Arial" w:cs="Arial"/>
          <w:lang w:eastAsia="en-US"/>
        </w:rPr>
      </w:pPr>
      <w:r w:rsidRPr="00741A3A">
        <w:rPr>
          <w:rFonts w:ascii="Arial" w:hAnsi="Arial" w:cs="Arial"/>
          <w:lang w:eastAsia="en-US"/>
        </w:rPr>
        <w:t>CONTRATAÇÃO DE EMPRESA ESPECIALIZADA PARA PRESTAÇÃO DE SERVIÇOS DE VACINAÇÃO E IMUNIZAÇÃO PARA AS UNIDADES DE TRABALHO DO TRT DA 24ª REGIÃO, COM O FORNECIMENTO, ARMAZENAMENTO E APLICAÇÃO DE DOSES DE VACINA ANTIGRIPAL (VACINA INFLUENZA QUADRIVALENTE).</w:t>
      </w:r>
    </w:p>
    <w:p w14:paraId="5417D3D1" w14:textId="77777777" w:rsidR="00741A3A" w:rsidRDefault="00741A3A" w:rsidP="00741A3A">
      <w:pPr>
        <w:autoSpaceDE w:val="0"/>
        <w:autoSpaceDN w:val="0"/>
        <w:adjustRightInd w:val="0"/>
        <w:rPr>
          <w:rFonts w:ascii="CIDFont+F2" w:hAnsi="CIDFont+F2" w:cs="CIDFont+F2"/>
          <w:sz w:val="20"/>
          <w:szCs w:val="20"/>
          <w:lang w:eastAsia="en-US"/>
        </w:rPr>
      </w:pPr>
    </w:p>
    <w:p w14:paraId="131315E3" w14:textId="77777777" w:rsidR="00EF4766" w:rsidRPr="00516103" w:rsidRDefault="00EF4766" w:rsidP="0E03D98A">
      <w:pPr>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74098515"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AA275C">
        <w:rPr>
          <w:rStyle w:val="nfase"/>
          <w:rFonts w:ascii="Arial" w:hAnsi="Arial" w:cs="Arial"/>
          <w:i w:val="0"/>
        </w:rPr>
        <w:t>25-3-2024</w:t>
      </w:r>
      <w:r w:rsidRPr="00516103">
        <w:rPr>
          <w:rStyle w:val="nfase"/>
          <w:rFonts w:ascii="Arial" w:hAnsi="Arial" w:cs="Arial"/>
          <w:i w:val="0"/>
        </w:rPr>
        <w:t xml:space="preserve"> </w:t>
      </w:r>
      <w:r w:rsidR="00740456">
        <w:rPr>
          <w:rStyle w:val="nfase"/>
          <w:rFonts w:ascii="Arial" w:hAnsi="Arial" w:cs="Arial"/>
          <w:i w:val="0"/>
        </w:rPr>
        <w:t>(</w:t>
      </w:r>
      <w:r w:rsidR="00AA275C">
        <w:rPr>
          <w:rStyle w:val="nfase"/>
          <w:rFonts w:ascii="Arial" w:hAnsi="Arial" w:cs="Arial"/>
          <w:i w:val="0"/>
        </w:rPr>
        <w:t>segunda</w:t>
      </w:r>
      <w:r w:rsidR="00740456">
        <w:rPr>
          <w:rStyle w:val="nfase"/>
          <w:rFonts w:ascii="Arial" w:hAnsi="Arial" w:cs="Arial"/>
          <w:i w:val="0"/>
        </w:rPr>
        <w:t xml:space="preserve">-feira) </w:t>
      </w:r>
      <w:r w:rsidRPr="00516103">
        <w:rPr>
          <w:rStyle w:val="nfase"/>
          <w:rFonts w:ascii="Arial" w:hAnsi="Arial" w:cs="Arial"/>
          <w:i w:val="0"/>
        </w:rPr>
        <w:t xml:space="preserve">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08182489"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CF7DCB">
        <w:rPr>
          <w:rStyle w:val="nfase"/>
          <w:rFonts w:ascii="Arial" w:hAnsi="Arial" w:cs="Arial"/>
          <w:i w:val="0"/>
        </w:rPr>
        <w:t>64.620,00</w:t>
      </w:r>
      <w:r w:rsidR="001107AD">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6A98109B"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w:t>
      </w:r>
      <w:r w:rsidR="00E9181D">
        <w:rPr>
          <w:rStyle w:val="nfase"/>
          <w:rFonts w:ascii="Arial" w:hAnsi="Arial" w:cs="Arial"/>
          <w:i w:val="0"/>
        </w:rPr>
        <w:t>GLOBAL</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4B2A280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0EDDC814" w:rsidR="00127AAA" w:rsidRPr="00516103" w:rsidRDefault="00741A3A" w:rsidP="00C32D0A">
      <w:pPr>
        <w:ind w:left="284"/>
        <w:rPr>
          <w:rStyle w:val="nfase"/>
          <w:rFonts w:ascii="Arial" w:hAnsi="Arial" w:cs="Arial"/>
          <w:i w:val="0"/>
        </w:rPr>
      </w:pPr>
      <w:r>
        <w:rPr>
          <w:rStyle w:val="nfase"/>
          <w:rFonts w:ascii="Arial" w:hAnsi="Arial" w:cs="Arial"/>
          <w:i w:val="0"/>
        </w:rPr>
        <w:t>Sim</w:t>
      </w:r>
      <w:r w:rsidR="00AC07ED">
        <w:rPr>
          <w:rStyle w:val="nfase"/>
          <w:rFonts w:ascii="Arial" w:hAnsi="Arial" w:cs="Arial"/>
          <w:i w:val="0"/>
        </w:rPr>
        <w:t>.</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79841B6D" w14:textId="6D9253D5"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F76498">
        <w:rPr>
          <w:rFonts w:ascii="Arial" w:hAnsi="Arial" w:cs="Arial"/>
          <w:b/>
          <w:color w:val="000000"/>
          <w:sz w:val="20"/>
          <w:szCs w:val="20"/>
        </w:rPr>
        <w:t>90005/2024</w:t>
      </w:r>
    </w:p>
    <w:p w14:paraId="1CC7C9FE" w14:textId="70FFE12E"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E9181D">
        <w:rPr>
          <w:rFonts w:ascii="Arial" w:hAnsi="Arial" w:cs="Arial"/>
          <w:bCs/>
          <w:color w:val="000000"/>
          <w:sz w:val="20"/>
          <w:szCs w:val="20"/>
        </w:rPr>
        <w:t>24</w:t>
      </w:r>
      <w:r w:rsidR="00B6300D">
        <w:rPr>
          <w:rFonts w:ascii="Arial" w:hAnsi="Arial" w:cs="Arial"/>
          <w:bCs/>
          <w:color w:val="000000"/>
          <w:sz w:val="20"/>
          <w:szCs w:val="20"/>
        </w:rPr>
        <w:t>.036</w:t>
      </w:r>
      <w:r w:rsidR="00E9181D">
        <w:rPr>
          <w:rFonts w:ascii="Arial" w:hAnsi="Arial" w:cs="Arial"/>
          <w:bCs/>
          <w:color w:val="000000"/>
          <w:sz w:val="20"/>
          <w:szCs w:val="20"/>
        </w:rPr>
        <w:t>/2023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109E235"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C</w:t>
      </w:r>
      <w:bookmarkStart w:id="0" w:name="_GoBack"/>
      <w:bookmarkEnd w:id="0"/>
      <w:r w:rsidR="001C61C6">
        <w:rPr>
          <w:rFonts w:ascii="Arial" w:hAnsi="Arial" w:cs="Arial"/>
          <w:sz w:val="20"/>
          <w:szCs w:val="20"/>
        </w:rPr>
        <w:t xml:space="preserve">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F76498">
        <w:rPr>
          <w:rFonts w:ascii="Arial" w:hAnsi="Arial" w:cs="Arial"/>
          <w:b/>
          <w:color w:val="000000"/>
          <w:sz w:val="20"/>
          <w:szCs w:val="20"/>
        </w:rPr>
        <w:t>25</w:t>
      </w:r>
      <w:r w:rsidR="001F2DC3" w:rsidRPr="001F2DC3">
        <w:rPr>
          <w:rFonts w:ascii="Arial" w:hAnsi="Arial" w:cs="Arial"/>
          <w:b/>
          <w:color w:val="000000"/>
          <w:sz w:val="20"/>
          <w:szCs w:val="20"/>
        </w:rPr>
        <w:t xml:space="preserve"> de </w:t>
      </w:r>
      <w:r w:rsidR="00F76498">
        <w:rPr>
          <w:rFonts w:ascii="Arial" w:hAnsi="Arial" w:cs="Arial"/>
          <w:b/>
          <w:color w:val="000000"/>
          <w:sz w:val="20"/>
          <w:szCs w:val="20"/>
        </w:rPr>
        <w:t xml:space="preserve">março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F76498">
        <w:rPr>
          <w:rFonts w:ascii="Arial" w:hAnsi="Arial" w:cs="Arial"/>
          <w:b/>
          <w:color w:val="000000"/>
          <w:sz w:val="20"/>
          <w:szCs w:val="20"/>
        </w:rPr>
        <w:t>segunda-feira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F5D4A44" w14:textId="286581B0" w:rsidR="00BB1883" w:rsidRPr="009753A6" w:rsidRDefault="003C7A23" w:rsidP="00ED679C">
      <w:pPr>
        <w:pStyle w:val="Nivel2"/>
        <w:spacing w:beforeLines="120" w:before="288" w:afterLines="120" w:after="288" w:line="312" w:lineRule="auto"/>
        <w:ind w:left="993" w:hanging="567"/>
        <w:rPr>
          <w:rFonts w:eastAsia="Times New Roman"/>
          <w:color w:val="auto"/>
        </w:rPr>
      </w:pPr>
      <w:r w:rsidRPr="00BB1883">
        <w:rPr>
          <w:rFonts w:eastAsia="Times New Roman"/>
          <w:color w:val="auto"/>
        </w:rPr>
        <w:t xml:space="preserve">O objeto da presente licitação é </w:t>
      </w:r>
      <w:r w:rsidR="00ED679C">
        <w:rPr>
          <w:rFonts w:eastAsia="Times New Roman"/>
          <w:color w:val="auto"/>
        </w:rPr>
        <w:t xml:space="preserve">a </w:t>
      </w:r>
      <w:r w:rsidR="00741A3A" w:rsidRPr="00ED679C">
        <w:rPr>
          <w:b/>
          <w:lang w:eastAsia="en-US"/>
        </w:rPr>
        <w:t xml:space="preserve">contratação de empresa especializada para prestação de serviços de vacinação e imunização para as unidades de trabalho do TRT da 24ª Região, com o fornecimento, armazenamento e aplicação de doses de Vacina Antigripal (Vacina Influenza </w:t>
      </w:r>
      <w:proofErr w:type="spellStart"/>
      <w:r w:rsidR="00741A3A" w:rsidRPr="00ED679C">
        <w:rPr>
          <w:b/>
          <w:lang w:eastAsia="en-US"/>
        </w:rPr>
        <w:t>Quadrivalente</w:t>
      </w:r>
      <w:proofErr w:type="spellEnd"/>
      <w:r w:rsidR="00741A3A" w:rsidRPr="00ED679C">
        <w:rPr>
          <w:b/>
          <w:lang w:eastAsia="en-US"/>
        </w:rPr>
        <w:t>)</w:t>
      </w:r>
      <w:r w:rsidR="00ED679C">
        <w:rPr>
          <w:rFonts w:ascii="CIDFont+F2" w:hAnsi="CIDFont+F2" w:cs="CIDFont+F2"/>
          <w:lang w:eastAsia="en-US"/>
        </w:rPr>
        <w:t xml:space="preserve">, </w:t>
      </w:r>
      <w:r w:rsidR="00BB1883" w:rsidRPr="009753A6">
        <w:rPr>
          <w:color w:val="auto"/>
        </w:rPr>
        <w:t>conforme as especificações, quantidades e exigências estabelecidas neste Edital e seus Anexos (Termo de Referência).</w:t>
      </w:r>
    </w:p>
    <w:p w14:paraId="38C1EAD2" w14:textId="4573123D" w:rsidR="006F4FDB" w:rsidRPr="006E1990" w:rsidRDefault="006F4FDB" w:rsidP="006F4FDB">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rsidR="003E65A9">
        <w:t>realizada em único item.</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F01F71">
        <w:rPr>
          <w:rFonts w:eastAsia="Times New Roman"/>
          <w:color w:val="auto"/>
        </w:rPr>
        <w:lastRenderedPageBreak/>
        <w:t>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421591E6"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DD628D" w:rsidRPr="00092F61">
        <w:rPr>
          <w:b/>
          <w:color w:val="auto"/>
        </w:rPr>
        <w:t xml:space="preserve"> </w:t>
      </w:r>
      <w:r w:rsidR="00DD628D" w:rsidRPr="00710E72">
        <w:rPr>
          <w:b/>
          <w:color w:val="auto"/>
        </w:rPr>
        <w:t>é exclusiva</w:t>
      </w:r>
      <w:r w:rsidR="00DD628D" w:rsidRPr="00DD628D">
        <w:rPr>
          <w:color w:val="auto"/>
        </w:rPr>
        <w:t xml:space="preserve"> a microempresas e empresas de pequeno porte, nos termos do art. 48 da Lei Complementar nº 123/2006.</w:t>
      </w:r>
    </w:p>
    <w:p w14:paraId="0E744A58" w14:textId="4A45E732"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289AA3D9" w14:textId="77777777" w:rsidR="00092F61" w:rsidRPr="002E25DC" w:rsidRDefault="00092F61" w:rsidP="00092F6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28EEC8CF" w14:textId="6A688F50" w:rsidR="003E65A9" w:rsidRPr="00FC6001" w:rsidRDefault="003E65A9" w:rsidP="003E65A9">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FC6001">
        <w:rPr>
          <w:rFonts w:ascii="Arial" w:hAnsi="Arial" w:cs="Arial"/>
          <w:sz w:val="20"/>
          <w:szCs w:val="20"/>
        </w:rPr>
        <w:t>Para participação de microempresas e empresas de pequeno porte, a assinalação do campo “não” impedirá o prosseguimento no certame;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373A747"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Pr="00EA6903">
        <w:t>.</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25A2C7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GLOBAL.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lastRenderedPageBreak/>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4E7A78F7" w:rsidR="006206CB" w:rsidRPr="006E1990" w:rsidRDefault="006206CB" w:rsidP="006206CB">
      <w:pPr>
        <w:pStyle w:val="Nivel2"/>
        <w:spacing w:beforeLines="120" w:before="288" w:afterLines="120" w:after="288" w:line="312" w:lineRule="auto"/>
        <w:ind w:left="993" w:hanging="567"/>
      </w:pPr>
      <w:r w:rsidRPr="00471A87">
        <w:rPr>
          <w:b/>
        </w:rPr>
        <w:t>Os documentos previstos no ite</w:t>
      </w:r>
      <w:r w:rsidR="00471A87" w:rsidRPr="00471A87">
        <w:rPr>
          <w:b/>
        </w:rPr>
        <w:t>m</w:t>
      </w:r>
      <w:r w:rsidRPr="00471A87">
        <w:rPr>
          <w:b/>
        </w:rPr>
        <w:t xml:space="preserve"> 4 do Termo de Referência</w:t>
      </w:r>
      <w:r w:rsidR="00250102">
        <w:rPr>
          <w:b/>
        </w:rPr>
        <w:t xml:space="preserve"> </w:t>
      </w:r>
      <w:r w:rsidR="00250102">
        <w:t xml:space="preserve">são </w:t>
      </w:r>
      <w:r w:rsidRPr="006E1990">
        <w:t>necessários e suficientes para demonstrar a capacidade do licitante de realizar o objeto da licitação</w:t>
      </w:r>
      <w:r w:rsidR="00250102">
        <w:t xml:space="preserve"> e</w:t>
      </w:r>
      <w:r w:rsidRPr="006E1990">
        <w:t xml:space="preserve"> serão exigidos para fins de habilitação, nos termos dos </w:t>
      </w:r>
      <w:proofErr w:type="spellStart"/>
      <w:r w:rsidRPr="00AD4A98">
        <w:t>arts</w:t>
      </w:r>
      <w:proofErr w:type="spellEnd"/>
      <w:r w:rsidRPr="00AD4A98">
        <w:t>. 62 a 70 da Lei nº 14.133</w:t>
      </w:r>
      <w:r w:rsidR="009A0DCF">
        <w:t>/2021</w:t>
      </w:r>
      <w:r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84678ED" w14:textId="54DBCEE0" w:rsidR="00BF7230" w:rsidRPr="00BF7230" w:rsidRDefault="00BF7230" w:rsidP="00BF7230">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lastRenderedPageBreak/>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7"/>
    </w:p>
    <w:bookmarkEnd w:id="40"/>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lastRenderedPageBreak/>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lastRenderedPageBreak/>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2C4FCE2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a Minuta de Termo de Contrato</w:t>
      </w:r>
      <w:r w:rsidR="00B411F2">
        <w:t xml:space="preserve">. </w:t>
      </w:r>
    </w:p>
    <w:p w14:paraId="27BF3C44" w14:textId="3D8663C8"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EC39D1">
        <w:t xml:space="preserve">7 de março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F21C0" w14:textId="77777777" w:rsidR="00527567" w:rsidRDefault="00527567">
      <w:r>
        <w:separator/>
      </w:r>
    </w:p>
  </w:endnote>
  <w:endnote w:type="continuationSeparator" w:id="0">
    <w:p w14:paraId="2BC15EDF" w14:textId="77777777" w:rsidR="00527567" w:rsidRDefault="00527567">
      <w:r>
        <w:continuationSeparator/>
      </w:r>
    </w:p>
  </w:endnote>
  <w:endnote w:type="continuationNotice" w:id="1">
    <w:p w14:paraId="15A97D43" w14:textId="77777777" w:rsidR="00527567" w:rsidRDefault="00527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67964B46"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F76498">
          <w:rPr>
            <w:noProof/>
            <w:sz w:val="18"/>
            <w:szCs w:val="18"/>
          </w:rPr>
          <w:t>4</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F76498">
          <w:rPr>
            <w:noProof/>
            <w:sz w:val="18"/>
            <w:szCs w:val="18"/>
          </w:rPr>
          <w:t>18</w:t>
        </w:r>
        <w:r w:rsidRPr="00E12671">
          <w:rPr>
            <w:sz w:val="18"/>
            <w:szCs w:val="18"/>
          </w:rPr>
          <w:fldChar w:fldCharType="end"/>
        </w:r>
      </w:p>
      <w:p w14:paraId="239342FA" w14:textId="1DAA0501" w:rsidR="00FC0D1F" w:rsidRPr="00244403" w:rsidRDefault="00527567"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5F352" w14:textId="77777777" w:rsidR="00527567" w:rsidRDefault="00527567">
      <w:r>
        <w:separator/>
      </w:r>
    </w:p>
  </w:footnote>
  <w:footnote w:type="continuationSeparator" w:id="0">
    <w:p w14:paraId="3222A90A" w14:textId="77777777" w:rsidR="00527567" w:rsidRDefault="00527567">
      <w:r>
        <w:continuationSeparator/>
      </w:r>
    </w:p>
  </w:footnote>
  <w:footnote w:type="continuationNotice" w:id="1">
    <w:p w14:paraId="1A170A2F" w14:textId="77777777" w:rsidR="00527567" w:rsidRDefault="0052756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6F01DDA8"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9181D">
      <w:rPr>
        <w:rFonts w:ascii="Courier New" w:hAnsi="Courier New" w:cs="Courier New"/>
        <w:sz w:val="20"/>
        <w:szCs w:val="20"/>
      </w:rPr>
      <w:t>24.</w:t>
    </w:r>
    <w:r w:rsidR="00B6300D">
      <w:rPr>
        <w:rFonts w:ascii="Courier New" w:hAnsi="Courier New" w:cs="Courier New"/>
        <w:sz w:val="20"/>
        <w:szCs w:val="20"/>
      </w:rPr>
      <w:t>036</w:t>
    </w:r>
    <w:r w:rsidR="00E9181D">
      <w:rPr>
        <w:rFonts w:ascii="Courier New" w:hAnsi="Courier New" w:cs="Courier New"/>
        <w:sz w:val="20"/>
        <w:szCs w:val="20"/>
      </w:rPr>
      <w:t>/2023</w:t>
    </w:r>
  </w:p>
  <w:p w14:paraId="36411352" w14:textId="18789CD5"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F76498">
      <w:rPr>
        <w:rFonts w:ascii="Courier New" w:hAnsi="Courier New" w:cs="Courier New"/>
        <w:sz w:val="20"/>
        <w:szCs w:val="20"/>
      </w:rPr>
      <w:t>90005/2024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3CB236BE"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9181D">
      <w:rPr>
        <w:rFonts w:ascii="Courier New" w:hAnsi="Courier New" w:cs="Courier New"/>
        <w:sz w:val="20"/>
        <w:szCs w:val="20"/>
      </w:rPr>
      <w:t>24.</w:t>
    </w:r>
    <w:r w:rsidR="00B6300D">
      <w:rPr>
        <w:rFonts w:ascii="Courier New" w:hAnsi="Courier New" w:cs="Courier New"/>
        <w:sz w:val="20"/>
        <w:szCs w:val="20"/>
      </w:rPr>
      <w:t>036</w:t>
    </w:r>
    <w:r w:rsidR="00E9181D">
      <w:rPr>
        <w:rFonts w:ascii="Courier New" w:hAnsi="Courier New" w:cs="Courier New"/>
        <w:sz w:val="20"/>
        <w:szCs w:val="20"/>
      </w:rPr>
      <w:t>/2023</w:t>
    </w:r>
  </w:p>
  <w:p w14:paraId="76F4535A" w14:textId="421CA98E"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F76498">
      <w:rPr>
        <w:rFonts w:ascii="Courier New" w:hAnsi="Courier New" w:cs="Courier New"/>
        <w:sz w:val="20"/>
        <w:szCs w:val="20"/>
      </w:rPr>
      <w:t>90005/2024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75C"/>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504A9CC2-43F8-46F5-A886-2C1176CE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6299</Words>
  <Characters>34019</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40238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2024-02-01T16:07:00Z</dcterms:created>
  <dcterms:modified xsi:type="dcterms:W3CDTF">2024-03-07T17:32:00Z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