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051F53" w14:paraId="45D37ED4" w14:textId="77777777" w:rsidTr="007254EC">
        <w:tc>
          <w:tcPr>
            <w:tcW w:w="10194" w:type="dxa"/>
            <w:gridSpan w:val="4"/>
          </w:tcPr>
          <w:p w14:paraId="7645C082" w14:textId="77777777" w:rsidR="00051F53" w:rsidRPr="009B2A3C" w:rsidRDefault="00051F53" w:rsidP="007254EC">
            <w:pPr>
              <w:jc w:val="center"/>
              <w:rPr>
                <w:rStyle w:val="nfase"/>
                <w:rFonts w:ascii="Arial" w:hAnsi="Arial" w:cs="Arial"/>
                <w:i w:val="0"/>
                <w:sz w:val="16"/>
                <w:szCs w:val="16"/>
              </w:rPr>
            </w:pPr>
          </w:p>
          <w:p w14:paraId="6CF74504" w14:textId="42836AE6" w:rsidR="00051F53" w:rsidRDefault="00051F53" w:rsidP="007254EC">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6A8CFF2" w14:textId="77777777" w:rsidR="00D46314" w:rsidRPr="00D46314" w:rsidRDefault="00D46314" w:rsidP="007254EC">
            <w:pPr>
              <w:jc w:val="center"/>
              <w:rPr>
                <w:rStyle w:val="nfase"/>
                <w:rFonts w:ascii="Arial" w:hAnsi="Arial" w:cs="Arial"/>
                <w:i w:val="0"/>
                <w:sz w:val="12"/>
                <w:szCs w:val="12"/>
              </w:rPr>
            </w:pPr>
          </w:p>
          <w:p w14:paraId="651FAC27" w14:textId="6B9667D5" w:rsidR="00051F53" w:rsidRDefault="00051F53" w:rsidP="007254EC">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sidR="00A712D0">
              <w:rPr>
                <w:rStyle w:val="nfase"/>
                <w:rFonts w:ascii="Arial" w:hAnsi="Arial" w:cs="Arial"/>
                <w:b/>
                <w:i w:val="0"/>
                <w:sz w:val="28"/>
                <w:szCs w:val="28"/>
              </w:rPr>
              <w:t xml:space="preserve"> SRP</w:t>
            </w:r>
            <w:r w:rsidRPr="00D46314">
              <w:rPr>
                <w:rStyle w:val="nfase"/>
                <w:rFonts w:ascii="Arial" w:hAnsi="Arial" w:cs="Arial"/>
                <w:b/>
                <w:i w:val="0"/>
                <w:sz w:val="28"/>
                <w:szCs w:val="28"/>
              </w:rPr>
              <w:t xml:space="preserve"> nº 90011/2024</w:t>
            </w:r>
          </w:p>
          <w:p w14:paraId="41ABB174" w14:textId="77777777" w:rsidR="00D46314" w:rsidRPr="00D46314" w:rsidRDefault="00D46314" w:rsidP="007254EC">
            <w:pPr>
              <w:jc w:val="center"/>
              <w:rPr>
                <w:rStyle w:val="nfase"/>
                <w:rFonts w:ascii="Arial" w:hAnsi="Arial" w:cs="Arial"/>
                <w:b/>
                <w:i w:val="0"/>
                <w:sz w:val="12"/>
                <w:szCs w:val="12"/>
              </w:rPr>
            </w:pPr>
          </w:p>
          <w:p w14:paraId="0B1C3E32" w14:textId="77777777" w:rsidR="00051F53" w:rsidRPr="0090795E" w:rsidRDefault="00051F53" w:rsidP="0090795E">
            <w:pPr>
              <w:jc w:val="both"/>
              <w:rPr>
                <w:rStyle w:val="nfase"/>
                <w:rFonts w:ascii="Arial" w:hAnsi="Arial" w:cs="Arial"/>
                <w:i w:val="0"/>
                <w:sz w:val="20"/>
                <w:szCs w:val="20"/>
              </w:rPr>
            </w:pPr>
            <w:r w:rsidRPr="0090795E">
              <w:rPr>
                <w:rStyle w:val="nfase"/>
                <w:rFonts w:ascii="Arial" w:hAnsi="Arial" w:cs="Arial"/>
                <w:i w:val="0"/>
                <w:sz w:val="20"/>
                <w:szCs w:val="20"/>
              </w:rPr>
              <w:t>(Regido pela Lei 14.133/2021, pela Lei Complementar 123/2006, pelos Decretos 11.462/2023 e 8.538/2015, pela IN SEGES/ME 73/2022, no que couber, e demais legislações aplicáveis)</w:t>
            </w:r>
          </w:p>
          <w:p w14:paraId="558AB877" w14:textId="77777777" w:rsidR="00051F53" w:rsidRPr="009B2A3C" w:rsidRDefault="00051F53" w:rsidP="007254EC">
            <w:pPr>
              <w:jc w:val="center"/>
              <w:rPr>
                <w:rStyle w:val="nfase"/>
                <w:rFonts w:ascii="Arial" w:hAnsi="Arial" w:cs="Arial"/>
                <w:i w:val="0"/>
                <w:sz w:val="16"/>
                <w:szCs w:val="16"/>
              </w:rPr>
            </w:pPr>
          </w:p>
        </w:tc>
      </w:tr>
      <w:tr w:rsidR="00051F53" w:rsidRPr="00946D64" w14:paraId="1DAC78F6" w14:textId="77777777" w:rsidTr="007254EC">
        <w:tc>
          <w:tcPr>
            <w:tcW w:w="10194" w:type="dxa"/>
            <w:gridSpan w:val="4"/>
          </w:tcPr>
          <w:p w14:paraId="5DB55D6F" w14:textId="77777777" w:rsidR="00051F53" w:rsidRPr="00BD26DE" w:rsidRDefault="00051F53" w:rsidP="007254EC">
            <w:pPr>
              <w:tabs>
                <w:tab w:val="left" w:pos="1735"/>
              </w:tabs>
              <w:autoSpaceDE w:val="0"/>
              <w:autoSpaceDN w:val="0"/>
              <w:adjustRightInd w:val="0"/>
              <w:ind w:left="318"/>
              <w:jc w:val="center"/>
              <w:rPr>
                <w:rStyle w:val="nfase"/>
                <w:rFonts w:ascii="Arial" w:hAnsi="Arial" w:cs="Arial"/>
                <w:b/>
                <w:i w:val="0"/>
                <w:sz w:val="16"/>
                <w:szCs w:val="16"/>
              </w:rPr>
            </w:pPr>
          </w:p>
          <w:p w14:paraId="11CE6409" w14:textId="77777777" w:rsidR="00051F53" w:rsidRPr="00D46314" w:rsidRDefault="00051F53" w:rsidP="007254E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5E078A6" w14:textId="5F039E86" w:rsidR="00051F53" w:rsidRDefault="00051F53" w:rsidP="0090795E">
            <w:pPr>
              <w:tabs>
                <w:tab w:val="left" w:pos="1735"/>
              </w:tabs>
              <w:autoSpaceDE w:val="0"/>
              <w:autoSpaceDN w:val="0"/>
              <w:adjustRightInd w:val="0"/>
              <w:ind w:left="318"/>
              <w:jc w:val="both"/>
              <w:rPr>
                <w:rFonts w:ascii="Arial" w:hAnsi="Arial" w:cs="Arial"/>
                <w:sz w:val="28"/>
                <w:szCs w:val="28"/>
              </w:rPr>
            </w:pPr>
            <w:r w:rsidRPr="00946D64">
              <w:rPr>
                <w:rStyle w:val="nfase"/>
                <w:rFonts w:ascii="Arial" w:hAnsi="Arial" w:cs="Arial"/>
                <w:i w:val="0"/>
                <w:sz w:val="28"/>
                <w:szCs w:val="28"/>
              </w:rPr>
              <w:t>R</w:t>
            </w:r>
            <w:r w:rsidRPr="00946D64">
              <w:rPr>
                <w:rFonts w:ascii="Arial" w:hAnsi="Arial" w:cs="Arial"/>
                <w:sz w:val="28"/>
                <w:szCs w:val="28"/>
              </w:rPr>
              <w:t xml:space="preserve">egistro de preços para </w:t>
            </w:r>
            <w:r w:rsidR="00B24BFC">
              <w:rPr>
                <w:rFonts w:ascii="Arial" w:hAnsi="Arial" w:cs="Arial"/>
                <w:sz w:val="28"/>
                <w:szCs w:val="28"/>
              </w:rPr>
              <w:t>a</w:t>
            </w:r>
            <w:r w:rsidRPr="00946D64">
              <w:rPr>
                <w:rFonts w:ascii="Arial" w:hAnsi="Arial" w:cs="Arial"/>
                <w:sz w:val="28"/>
                <w:szCs w:val="28"/>
              </w:rPr>
              <w:t xml:space="preserve"> aquisição de materiais de expediente</w:t>
            </w:r>
            <w:r w:rsidR="007D1186">
              <w:rPr>
                <w:rFonts w:ascii="Arial" w:hAnsi="Arial" w:cs="Arial"/>
                <w:sz w:val="28"/>
                <w:szCs w:val="28"/>
              </w:rPr>
              <w:t>.</w:t>
            </w:r>
          </w:p>
          <w:p w14:paraId="7F8147CD" w14:textId="77777777" w:rsidR="00051F53" w:rsidRPr="009B2A3C" w:rsidRDefault="00051F53" w:rsidP="007254EC">
            <w:pPr>
              <w:tabs>
                <w:tab w:val="left" w:pos="1735"/>
              </w:tabs>
              <w:autoSpaceDE w:val="0"/>
              <w:autoSpaceDN w:val="0"/>
              <w:adjustRightInd w:val="0"/>
              <w:ind w:left="318"/>
              <w:rPr>
                <w:rStyle w:val="nfase"/>
                <w:rFonts w:ascii="Arial" w:hAnsi="Arial" w:cs="Arial"/>
                <w:i w:val="0"/>
                <w:sz w:val="16"/>
                <w:szCs w:val="16"/>
              </w:rPr>
            </w:pPr>
          </w:p>
        </w:tc>
      </w:tr>
      <w:tr w:rsidR="00051F53" w14:paraId="5EC85C79" w14:textId="77777777" w:rsidTr="007254EC">
        <w:tc>
          <w:tcPr>
            <w:tcW w:w="10194" w:type="dxa"/>
            <w:gridSpan w:val="4"/>
          </w:tcPr>
          <w:p w14:paraId="7CA94802" w14:textId="77777777" w:rsidR="00051F53" w:rsidRPr="007B3ECB" w:rsidRDefault="00051F53" w:rsidP="007254EC">
            <w:pPr>
              <w:rPr>
                <w:rStyle w:val="nfase"/>
                <w:rFonts w:ascii="Arial" w:hAnsi="Arial" w:cs="Arial"/>
                <w:b/>
                <w:i w:val="0"/>
                <w:sz w:val="12"/>
                <w:szCs w:val="12"/>
              </w:rPr>
            </w:pPr>
          </w:p>
          <w:p w14:paraId="053C8258" w14:textId="77777777" w:rsidR="00051F53" w:rsidRPr="00946D64" w:rsidRDefault="00051F53" w:rsidP="007254EC">
            <w:pPr>
              <w:rPr>
                <w:rStyle w:val="nfase"/>
                <w:rFonts w:ascii="Arial" w:hAnsi="Arial" w:cs="Arial"/>
                <w:b/>
                <w:i w:val="0"/>
              </w:rPr>
            </w:pPr>
            <w:r w:rsidRPr="00946D64">
              <w:rPr>
                <w:rStyle w:val="nfase"/>
                <w:rFonts w:ascii="Arial" w:hAnsi="Arial" w:cs="Arial"/>
                <w:b/>
                <w:i w:val="0"/>
              </w:rPr>
              <w:t>Data de abertura da sessão pública:</w:t>
            </w:r>
          </w:p>
          <w:p w14:paraId="7D612921" w14:textId="068AC890" w:rsidR="00051F53" w:rsidRDefault="006727E2" w:rsidP="007254EC">
            <w:pPr>
              <w:rPr>
                <w:rStyle w:val="nfase"/>
                <w:rFonts w:ascii="Arial" w:hAnsi="Arial" w:cs="Arial"/>
                <w:i w:val="0"/>
              </w:rPr>
            </w:pPr>
            <w:r>
              <w:rPr>
                <w:rStyle w:val="nfase"/>
                <w:rFonts w:ascii="Arial" w:hAnsi="Arial" w:cs="Arial"/>
                <w:i w:val="0"/>
              </w:rPr>
              <w:t>1º-8-2024</w:t>
            </w:r>
            <w:r w:rsidR="00051F53">
              <w:rPr>
                <w:rStyle w:val="nfase"/>
                <w:rFonts w:ascii="Arial" w:hAnsi="Arial" w:cs="Arial"/>
                <w:i w:val="0"/>
              </w:rPr>
              <w:t xml:space="preserve"> (</w:t>
            </w:r>
            <w:r w:rsidR="004750F2">
              <w:rPr>
                <w:rStyle w:val="nfase"/>
                <w:rFonts w:ascii="Arial" w:hAnsi="Arial" w:cs="Arial"/>
                <w:i w:val="0"/>
              </w:rPr>
              <w:t>qu</w:t>
            </w:r>
            <w:r>
              <w:rPr>
                <w:rStyle w:val="nfase"/>
                <w:rFonts w:ascii="Arial" w:hAnsi="Arial" w:cs="Arial"/>
                <w:i w:val="0"/>
              </w:rPr>
              <w:t>inta</w:t>
            </w:r>
            <w:r w:rsidR="00051F53">
              <w:rPr>
                <w:rStyle w:val="nfase"/>
                <w:rFonts w:ascii="Arial" w:hAnsi="Arial" w:cs="Arial"/>
                <w:i w:val="0"/>
              </w:rPr>
              <w:t xml:space="preserve">-feira) às 14h30 (horário de Brasília/DF) no sítio </w:t>
            </w:r>
            <w:hyperlink r:id="rId11" w:history="1">
              <w:r w:rsidR="00051F53" w:rsidRPr="00E2113B">
                <w:rPr>
                  <w:rStyle w:val="Hyperlink"/>
                  <w:rFonts w:ascii="Arial" w:hAnsi="Arial" w:cs="Arial"/>
                </w:rPr>
                <w:t>www.gov.br/compras/pt-br</w:t>
              </w:r>
            </w:hyperlink>
          </w:p>
          <w:p w14:paraId="1373DBEA" w14:textId="77777777" w:rsidR="00051F53" w:rsidRPr="007B3ECB" w:rsidRDefault="00051F53" w:rsidP="007254EC">
            <w:pPr>
              <w:rPr>
                <w:rStyle w:val="nfase"/>
                <w:rFonts w:ascii="Arial" w:hAnsi="Arial" w:cs="Arial"/>
                <w:i w:val="0"/>
                <w:sz w:val="12"/>
                <w:szCs w:val="12"/>
              </w:rPr>
            </w:pPr>
          </w:p>
        </w:tc>
      </w:tr>
      <w:tr w:rsidR="00051F53" w:rsidRPr="00051F53" w14:paraId="21D67371" w14:textId="77777777" w:rsidTr="00051F53">
        <w:tc>
          <w:tcPr>
            <w:tcW w:w="2548" w:type="dxa"/>
          </w:tcPr>
          <w:p w14:paraId="47907E33" w14:textId="77777777" w:rsidR="00051F53" w:rsidRPr="00051F53" w:rsidRDefault="00051F53" w:rsidP="007254EC">
            <w:pPr>
              <w:jc w:val="center"/>
              <w:rPr>
                <w:rStyle w:val="nfase"/>
                <w:rFonts w:ascii="Arial" w:hAnsi="Arial" w:cs="Arial"/>
                <w:i w:val="0"/>
                <w:sz w:val="12"/>
                <w:szCs w:val="12"/>
              </w:rPr>
            </w:pPr>
          </w:p>
          <w:p w14:paraId="0D46481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Tipo:</w:t>
            </w:r>
          </w:p>
          <w:p w14:paraId="5C49555A"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Menor Preço</w:t>
            </w:r>
          </w:p>
          <w:p w14:paraId="045C4F37" w14:textId="77777777" w:rsidR="00051F53" w:rsidRPr="00051F53" w:rsidRDefault="00051F53" w:rsidP="007254EC">
            <w:pPr>
              <w:rPr>
                <w:rStyle w:val="nfase"/>
                <w:rFonts w:ascii="Arial" w:hAnsi="Arial" w:cs="Arial"/>
                <w:i w:val="0"/>
                <w:sz w:val="12"/>
                <w:szCs w:val="12"/>
              </w:rPr>
            </w:pPr>
          </w:p>
        </w:tc>
        <w:tc>
          <w:tcPr>
            <w:tcW w:w="2125" w:type="dxa"/>
          </w:tcPr>
          <w:p w14:paraId="6457AB93" w14:textId="77777777" w:rsidR="00051F53" w:rsidRPr="00051F53" w:rsidRDefault="00051F53" w:rsidP="007254EC">
            <w:pPr>
              <w:rPr>
                <w:rStyle w:val="nfase"/>
                <w:rFonts w:ascii="Arial" w:hAnsi="Arial" w:cs="Arial"/>
                <w:b/>
                <w:i w:val="0"/>
                <w:sz w:val="12"/>
                <w:szCs w:val="12"/>
              </w:rPr>
            </w:pPr>
          </w:p>
          <w:p w14:paraId="125E01E5"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B7B595A"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Aberto</w:t>
            </w:r>
          </w:p>
          <w:p w14:paraId="061F9D27" w14:textId="77777777" w:rsidR="00051F53" w:rsidRPr="00051F53" w:rsidRDefault="00051F53" w:rsidP="007254EC">
            <w:pPr>
              <w:jc w:val="center"/>
              <w:rPr>
                <w:rStyle w:val="nfase"/>
                <w:rFonts w:ascii="Arial" w:hAnsi="Arial" w:cs="Arial"/>
                <w:i w:val="0"/>
                <w:sz w:val="12"/>
                <w:szCs w:val="12"/>
              </w:rPr>
            </w:pPr>
          </w:p>
        </w:tc>
        <w:tc>
          <w:tcPr>
            <w:tcW w:w="2972" w:type="dxa"/>
          </w:tcPr>
          <w:p w14:paraId="05DC9147" w14:textId="77777777" w:rsidR="00051F53" w:rsidRPr="00051F53" w:rsidRDefault="00051F53" w:rsidP="007254EC">
            <w:pPr>
              <w:rPr>
                <w:rStyle w:val="nfase"/>
                <w:rFonts w:ascii="Arial" w:hAnsi="Arial" w:cs="Arial"/>
                <w:b/>
                <w:i w:val="0"/>
                <w:sz w:val="12"/>
                <w:szCs w:val="12"/>
              </w:rPr>
            </w:pPr>
          </w:p>
          <w:p w14:paraId="79BDF56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077D7659"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Sim</w:t>
            </w:r>
          </w:p>
          <w:p w14:paraId="7331F1B2" w14:textId="77777777" w:rsidR="00051F53" w:rsidRPr="00051F53" w:rsidRDefault="00051F53" w:rsidP="007254EC">
            <w:pPr>
              <w:jc w:val="center"/>
              <w:rPr>
                <w:rStyle w:val="nfase"/>
                <w:rFonts w:ascii="Arial" w:hAnsi="Arial" w:cs="Arial"/>
                <w:i w:val="0"/>
                <w:sz w:val="12"/>
                <w:szCs w:val="12"/>
              </w:rPr>
            </w:pPr>
          </w:p>
        </w:tc>
        <w:tc>
          <w:tcPr>
            <w:tcW w:w="2549" w:type="dxa"/>
          </w:tcPr>
          <w:p w14:paraId="5E1230CC" w14:textId="77777777" w:rsidR="00051F53" w:rsidRPr="00051F53" w:rsidRDefault="00051F53" w:rsidP="007254EC">
            <w:pPr>
              <w:rPr>
                <w:rStyle w:val="nfase"/>
                <w:rFonts w:ascii="Arial" w:hAnsi="Arial" w:cs="Arial"/>
                <w:b/>
                <w:i w:val="0"/>
                <w:sz w:val="12"/>
                <w:szCs w:val="12"/>
              </w:rPr>
            </w:pPr>
          </w:p>
          <w:p w14:paraId="7AE6FB1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Processo:</w:t>
            </w:r>
          </w:p>
          <w:p w14:paraId="0A3C9527"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875/2024</w:t>
            </w:r>
          </w:p>
          <w:p w14:paraId="5132B855" w14:textId="77777777" w:rsidR="00051F53" w:rsidRPr="00051F53" w:rsidRDefault="00051F53" w:rsidP="007254EC">
            <w:pPr>
              <w:jc w:val="center"/>
              <w:rPr>
                <w:rStyle w:val="nfase"/>
                <w:rFonts w:ascii="Arial" w:hAnsi="Arial" w:cs="Arial"/>
                <w:i w:val="0"/>
                <w:sz w:val="12"/>
                <w:szCs w:val="12"/>
              </w:rPr>
            </w:pPr>
          </w:p>
        </w:tc>
      </w:tr>
      <w:tr w:rsidR="00051F53" w:rsidRPr="00051F53" w14:paraId="51973AF9" w14:textId="77777777" w:rsidTr="00051F53">
        <w:tc>
          <w:tcPr>
            <w:tcW w:w="2548" w:type="dxa"/>
          </w:tcPr>
          <w:p w14:paraId="3B17725E" w14:textId="77777777" w:rsidR="00051F53" w:rsidRPr="00051F53" w:rsidRDefault="00051F53" w:rsidP="007254EC">
            <w:pPr>
              <w:jc w:val="center"/>
              <w:rPr>
                <w:rStyle w:val="nfase"/>
                <w:rFonts w:ascii="Arial" w:hAnsi="Arial" w:cs="Arial"/>
                <w:i w:val="0"/>
                <w:sz w:val="12"/>
                <w:szCs w:val="12"/>
              </w:rPr>
            </w:pPr>
          </w:p>
          <w:p w14:paraId="0D8B6275"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374CE1F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Por Item e por Grupo</w:t>
            </w:r>
          </w:p>
          <w:p w14:paraId="1B85BB2A" w14:textId="77777777" w:rsidR="00051F53" w:rsidRPr="00051F53" w:rsidRDefault="00051F53" w:rsidP="007254EC">
            <w:pPr>
              <w:rPr>
                <w:rStyle w:val="nfase"/>
                <w:rFonts w:ascii="Arial" w:hAnsi="Arial" w:cs="Arial"/>
                <w:i w:val="0"/>
                <w:sz w:val="12"/>
                <w:szCs w:val="12"/>
              </w:rPr>
            </w:pPr>
          </w:p>
        </w:tc>
        <w:tc>
          <w:tcPr>
            <w:tcW w:w="2125" w:type="dxa"/>
          </w:tcPr>
          <w:p w14:paraId="746A0C74" w14:textId="77777777" w:rsidR="00051F53" w:rsidRPr="00051F53" w:rsidRDefault="00051F53" w:rsidP="007254EC">
            <w:pPr>
              <w:rPr>
                <w:rStyle w:val="nfase"/>
                <w:rFonts w:ascii="Arial" w:hAnsi="Arial" w:cs="Arial"/>
                <w:b/>
                <w:i w:val="0"/>
                <w:sz w:val="12"/>
                <w:szCs w:val="12"/>
              </w:rPr>
            </w:pPr>
          </w:p>
          <w:p w14:paraId="236CA1F2"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Vistoria:</w:t>
            </w:r>
          </w:p>
          <w:p w14:paraId="198D98A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68263367" w14:textId="77777777" w:rsidR="00051F53" w:rsidRPr="00051F53" w:rsidRDefault="00051F53" w:rsidP="007254EC">
            <w:pPr>
              <w:jc w:val="center"/>
              <w:rPr>
                <w:rStyle w:val="nfase"/>
                <w:rFonts w:ascii="Arial" w:hAnsi="Arial" w:cs="Arial"/>
                <w:i w:val="0"/>
                <w:sz w:val="12"/>
                <w:szCs w:val="12"/>
              </w:rPr>
            </w:pPr>
          </w:p>
        </w:tc>
        <w:tc>
          <w:tcPr>
            <w:tcW w:w="2972" w:type="dxa"/>
          </w:tcPr>
          <w:p w14:paraId="1C8EF679" w14:textId="77777777" w:rsidR="00051F53" w:rsidRPr="00051F53" w:rsidRDefault="00051F53" w:rsidP="007254EC">
            <w:pPr>
              <w:rPr>
                <w:rStyle w:val="nfase"/>
                <w:rFonts w:ascii="Arial" w:hAnsi="Arial" w:cs="Arial"/>
                <w:b/>
                <w:i w:val="0"/>
                <w:sz w:val="12"/>
                <w:szCs w:val="12"/>
              </w:rPr>
            </w:pPr>
          </w:p>
          <w:p w14:paraId="339243B1"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0D3BBEF0"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4818A44D" w14:textId="77777777" w:rsidR="00051F53" w:rsidRPr="00051F53" w:rsidRDefault="00051F53" w:rsidP="007254EC">
            <w:pPr>
              <w:jc w:val="center"/>
              <w:rPr>
                <w:rStyle w:val="nfase"/>
                <w:rFonts w:ascii="Arial" w:hAnsi="Arial" w:cs="Arial"/>
                <w:i w:val="0"/>
                <w:sz w:val="12"/>
                <w:szCs w:val="12"/>
              </w:rPr>
            </w:pPr>
          </w:p>
        </w:tc>
        <w:tc>
          <w:tcPr>
            <w:tcW w:w="2549" w:type="dxa"/>
          </w:tcPr>
          <w:p w14:paraId="7463F0C4" w14:textId="77777777" w:rsidR="00051F53" w:rsidRPr="00051F53" w:rsidRDefault="00051F53" w:rsidP="007254EC">
            <w:pPr>
              <w:rPr>
                <w:rStyle w:val="nfase"/>
                <w:rFonts w:ascii="Arial" w:hAnsi="Arial" w:cs="Arial"/>
                <w:b/>
                <w:i w:val="0"/>
                <w:sz w:val="12"/>
                <w:szCs w:val="12"/>
              </w:rPr>
            </w:pPr>
          </w:p>
          <w:p w14:paraId="39188464"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7C9BCD76"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00261F9B" w14:textId="77777777" w:rsidR="00051F53" w:rsidRPr="00051F53" w:rsidRDefault="00051F53" w:rsidP="007254EC">
            <w:pPr>
              <w:jc w:val="center"/>
              <w:rPr>
                <w:rStyle w:val="nfase"/>
                <w:rFonts w:ascii="Arial" w:hAnsi="Arial" w:cs="Arial"/>
                <w:i w:val="0"/>
                <w:sz w:val="12"/>
                <w:szCs w:val="12"/>
              </w:rPr>
            </w:pPr>
          </w:p>
        </w:tc>
      </w:tr>
      <w:tr w:rsidR="00051F53" w:rsidRPr="00051F53" w14:paraId="719127BA" w14:textId="77777777" w:rsidTr="00051F53">
        <w:tc>
          <w:tcPr>
            <w:tcW w:w="2548" w:type="dxa"/>
          </w:tcPr>
          <w:p w14:paraId="31BE4F1B" w14:textId="77777777" w:rsidR="00051F53" w:rsidRPr="00051F53" w:rsidRDefault="00051F53" w:rsidP="007254EC">
            <w:pPr>
              <w:jc w:val="center"/>
              <w:rPr>
                <w:rStyle w:val="nfase"/>
                <w:rFonts w:ascii="Arial" w:hAnsi="Arial" w:cs="Arial"/>
                <w:i w:val="0"/>
                <w:sz w:val="12"/>
                <w:szCs w:val="12"/>
              </w:rPr>
            </w:pPr>
          </w:p>
          <w:p w14:paraId="6CED8F34"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09BBA45" w14:textId="4DAAD15D" w:rsidR="00051F53" w:rsidRPr="00051F53" w:rsidRDefault="00051F53" w:rsidP="007254EC">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7D1186">
              <w:rPr>
                <w:rStyle w:val="nfase"/>
                <w:rFonts w:ascii="Arial" w:hAnsi="Arial" w:cs="Arial"/>
                <w:i w:val="0"/>
                <w:sz w:val="20"/>
                <w:szCs w:val="20"/>
              </w:rPr>
              <w:t>1</w:t>
            </w:r>
            <w:r w:rsidR="006B5633">
              <w:rPr>
                <w:rStyle w:val="nfase"/>
                <w:rFonts w:ascii="Arial" w:hAnsi="Arial" w:cs="Arial"/>
                <w:i w:val="0"/>
                <w:sz w:val="20"/>
                <w:szCs w:val="20"/>
              </w:rPr>
              <w:t>64.326,40</w:t>
            </w:r>
            <w:r w:rsidRPr="00051F53">
              <w:rPr>
                <w:rStyle w:val="nfase"/>
                <w:rFonts w:ascii="Arial" w:hAnsi="Arial" w:cs="Arial"/>
                <w:i w:val="0"/>
                <w:sz w:val="20"/>
                <w:szCs w:val="20"/>
              </w:rPr>
              <w:t>.</w:t>
            </w:r>
          </w:p>
          <w:p w14:paraId="2145D6FD" w14:textId="77777777" w:rsidR="00051F53" w:rsidRPr="00051F53" w:rsidRDefault="00051F53" w:rsidP="007254EC">
            <w:pPr>
              <w:rPr>
                <w:rStyle w:val="nfase"/>
                <w:rFonts w:ascii="Arial" w:hAnsi="Arial" w:cs="Arial"/>
                <w:i w:val="0"/>
                <w:sz w:val="16"/>
                <w:szCs w:val="16"/>
              </w:rPr>
            </w:pPr>
          </w:p>
        </w:tc>
        <w:tc>
          <w:tcPr>
            <w:tcW w:w="2125" w:type="dxa"/>
          </w:tcPr>
          <w:p w14:paraId="0F556D5F" w14:textId="77777777" w:rsidR="00051F53" w:rsidRPr="00051F53" w:rsidRDefault="00051F53" w:rsidP="007254EC">
            <w:pPr>
              <w:rPr>
                <w:rStyle w:val="nfase"/>
                <w:rFonts w:ascii="Arial" w:hAnsi="Arial" w:cs="Arial"/>
                <w:b/>
                <w:i w:val="0"/>
                <w:sz w:val="12"/>
                <w:szCs w:val="12"/>
              </w:rPr>
            </w:pPr>
          </w:p>
          <w:p w14:paraId="5B519799"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431AA5D" w14:textId="133E813B" w:rsidR="00051F53" w:rsidRPr="00051F53" w:rsidRDefault="0091685F" w:rsidP="007254EC">
            <w:pPr>
              <w:rPr>
                <w:rStyle w:val="nfase"/>
                <w:rFonts w:ascii="Arial" w:hAnsi="Arial" w:cs="Arial"/>
                <w:i w:val="0"/>
                <w:sz w:val="20"/>
                <w:szCs w:val="20"/>
              </w:rPr>
            </w:pPr>
            <w:r>
              <w:rPr>
                <w:rStyle w:val="nfase"/>
                <w:rFonts w:ascii="Arial" w:hAnsi="Arial" w:cs="Arial"/>
                <w:i w:val="0"/>
                <w:sz w:val="20"/>
                <w:szCs w:val="20"/>
              </w:rPr>
              <w:t>3</w:t>
            </w:r>
            <w:r w:rsidR="00051F53" w:rsidRPr="00051F53">
              <w:rPr>
                <w:rStyle w:val="nfase"/>
                <w:rFonts w:ascii="Arial" w:hAnsi="Arial" w:cs="Arial"/>
                <w:i w:val="0"/>
                <w:sz w:val="20"/>
                <w:szCs w:val="20"/>
              </w:rPr>
              <w:t>0 (</w:t>
            </w:r>
            <w:r>
              <w:rPr>
                <w:rStyle w:val="nfase"/>
                <w:rFonts w:ascii="Arial" w:hAnsi="Arial" w:cs="Arial"/>
                <w:i w:val="0"/>
                <w:sz w:val="20"/>
                <w:szCs w:val="20"/>
              </w:rPr>
              <w:t>trinta</w:t>
            </w:r>
            <w:r w:rsidR="00051F53" w:rsidRPr="00051F53">
              <w:rPr>
                <w:rStyle w:val="nfase"/>
                <w:rFonts w:ascii="Arial" w:hAnsi="Arial" w:cs="Arial"/>
                <w:i w:val="0"/>
                <w:sz w:val="20"/>
                <w:szCs w:val="20"/>
              </w:rPr>
              <w:t>) dias co</w:t>
            </w:r>
            <w:r>
              <w:rPr>
                <w:rStyle w:val="nfase"/>
                <w:rFonts w:ascii="Arial" w:hAnsi="Arial" w:cs="Arial"/>
                <w:i w:val="0"/>
                <w:sz w:val="20"/>
                <w:szCs w:val="20"/>
              </w:rPr>
              <w:t>nsecutivos</w:t>
            </w:r>
            <w:r w:rsidR="00211AA5">
              <w:rPr>
                <w:rStyle w:val="nfase"/>
                <w:rFonts w:ascii="Arial" w:hAnsi="Arial" w:cs="Arial"/>
                <w:i w:val="0"/>
                <w:sz w:val="20"/>
                <w:szCs w:val="20"/>
              </w:rPr>
              <w:t>.</w:t>
            </w:r>
          </w:p>
          <w:p w14:paraId="60618D32" w14:textId="77777777" w:rsidR="00051F53" w:rsidRPr="00051F53" w:rsidRDefault="00051F53" w:rsidP="007254EC">
            <w:pPr>
              <w:jc w:val="center"/>
              <w:rPr>
                <w:rStyle w:val="nfase"/>
                <w:rFonts w:ascii="Arial" w:hAnsi="Arial" w:cs="Arial"/>
                <w:i w:val="0"/>
                <w:sz w:val="12"/>
                <w:szCs w:val="12"/>
              </w:rPr>
            </w:pPr>
          </w:p>
        </w:tc>
        <w:tc>
          <w:tcPr>
            <w:tcW w:w="2972" w:type="dxa"/>
          </w:tcPr>
          <w:p w14:paraId="1972A815" w14:textId="77777777" w:rsidR="00051F53" w:rsidRPr="00051F53" w:rsidRDefault="00051F53" w:rsidP="007254EC">
            <w:pPr>
              <w:rPr>
                <w:rStyle w:val="nfase"/>
                <w:rFonts w:ascii="Arial" w:hAnsi="Arial" w:cs="Arial"/>
                <w:b/>
                <w:i w:val="0"/>
                <w:sz w:val="12"/>
                <w:szCs w:val="12"/>
              </w:rPr>
            </w:pPr>
          </w:p>
          <w:p w14:paraId="5EA6FD34"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474C89FC"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5E565712" w14:textId="77777777" w:rsidR="00051F53" w:rsidRPr="00051F53" w:rsidRDefault="00051F53" w:rsidP="007254EC">
            <w:pPr>
              <w:jc w:val="center"/>
              <w:rPr>
                <w:rStyle w:val="nfase"/>
                <w:rFonts w:ascii="Arial" w:hAnsi="Arial" w:cs="Arial"/>
                <w:i w:val="0"/>
                <w:sz w:val="16"/>
                <w:szCs w:val="16"/>
              </w:rPr>
            </w:pPr>
          </w:p>
        </w:tc>
        <w:tc>
          <w:tcPr>
            <w:tcW w:w="2549" w:type="dxa"/>
          </w:tcPr>
          <w:p w14:paraId="3157352B" w14:textId="77777777" w:rsidR="00051F53" w:rsidRPr="00051F53" w:rsidRDefault="00051F53" w:rsidP="007254EC">
            <w:pPr>
              <w:rPr>
                <w:rStyle w:val="nfase"/>
                <w:rFonts w:ascii="Arial" w:hAnsi="Arial" w:cs="Arial"/>
                <w:b/>
                <w:i w:val="0"/>
                <w:sz w:val="12"/>
                <w:szCs w:val="12"/>
              </w:rPr>
            </w:pPr>
          </w:p>
          <w:p w14:paraId="799F6E1C"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45030EA"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43716DE1" w14:textId="77777777" w:rsidR="00051F53" w:rsidRPr="00051F53" w:rsidRDefault="00051F53" w:rsidP="007254EC">
            <w:pPr>
              <w:jc w:val="center"/>
              <w:rPr>
                <w:rStyle w:val="nfase"/>
                <w:rFonts w:ascii="Arial" w:hAnsi="Arial" w:cs="Arial"/>
                <w:i w:val="0"/>
                <w:sz w:val="16"/>
                <w:szCs w:val="16"/>
              </w:rPr>
            </w:pPr>
          </w:p>
        </w:tc>
      </w:tr>
      <w:tr w:rsidR="00051F53" w:rsidRPr="00051F53" w14:paraId="5AB3C52B" w14:textId="77777777" w:rsidTr="007254EC">
        <w:tc>
          <w:tcPr>
            <w:tcW w:w="10194" w:type="dxa"/>
            <w:gridSpan w:val="4"/>
          </w:tcPr>
          <w:p w14:paraId="68AE065A" w14:textId="77777777" w:rsidR="00051F53" w:rsidRPr="00051F53" w:rsidRDefault="00051F53" w:rsidP="007254EC">
            <w:pPr>
              <w:rPr>
                <w:rStyle w:val="nfase"/>
                <w:rFonts w:ascii="Arial" w:hAnsi="Arial" w:cs="Arial"/>
                <w:b/>
                <w:i w:val="0"/>
                <w:sz w:val="12"/>
                <w:szCs w:val="12"/>
              </w:rPr>
            </w:pPr>
          </w:p>
          <w:p w14:paraId="7736873B"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Pedidos de esclarecimento e impugnações:</w:t>
            </w:r>
          </w:p>
          <w:p w14:paraId="4099A5A7" w14:textId="5044EF8A" w:rsidR="00051F53" w:rsidRPr="00D46314" w:rsidRDefault="00D46314" w:rsidP="007254E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7FA66B61" w14:textId="77777777" w:rsidR="00D46314" w:rsidRPr="00D46314" w:rsidRDefault="00D46314" w:rsidP="007254EC">
            <w:pPr>
              <w:rPr>
                <w:rStyle w:val="nfase"/>
                <w:rFonts w:ascii="Arial" w:hAnsi="Arial" w:cs="Arial"/>
                <w:i w:val="0"/>
                <w:sz w:val="12"/>
                <w:szCs w:val="12"/>
              </w:rPr>
            </w:pPr>
          </w:p>
          <w:p w14:paraId="6174E151" w14:textId="77777777" w:rsidR="00051F53" w:rsidRPr="00D6262B" w:rsidRDefault="00051F53" w:rsidP="007254E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BF4D59D" w14:textId="77777777" w:rsidR="00051F53" w:rsidRPr="00051F53" w:rsidRDefault="00051F53" w:rsidP="007254EC">
            <w:pPr>
              <w:rPr>
                <w:rStyle w:val="nfase"/>
                <w:rFonts w:ascii="Arial" w:hAnsi="Arial" w:cs="Arial"/>
                <w:i w:val="0"/>
                <w:sz w:val="12"/>
                <w:szCs w:val="12"/>
              </w:rPr>
            </w:pPr>
          </w:p>
        </w:tc>
      </w:tr>
      <w:tr w:rsidR="00051F53" w:rsidRPr="00051F53" w14:paraId="4FBBBACF" w14:textId="77777777" w:rsidTr="007254EC">
        <w:tc>
          <w:tcPr>
            <w:tcW w:w="10194" w:type="dxa"/>
            <w:gridSpan w:val="4"/>
          </w:tcPr>
          <w:p w14:paraId="3D9FFA5B" w14:textId="77777777" w:rsidR="00051F53" w:rsidRPr="00051F53" w:rsidRDefault="00051F53" w:rsidP="007254EC">
            <w:pPr>
              <w:jc w:val="center"/>
              <w:rPr>
                <w:rStyle w:val="nfase"/>
                <w:rFonts w:ascii="Arial" w:hAnsi="Arial" w:cs="Arial"/>
                <w:b/>
                <w:i w:val="0"/>
                <w:sz w:val="12"/>
                <w:szCs w:val="12"/>
              </w:rPr>
            </w:pPr>
          </w:p>
          <w:p w14:paraId="3D5458F0" w14:textId="0EC916F2" w:rsidR="00051F53" w:rsidRPr="00051F53" w:rsidRDefault="00051F53" w:rsidP="007254EC">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(veja It</w:t>
            </w:r>
            <w:r w:rsidR="001400C1">
              <w:rPr>
                <w:rStyle w:val="nfase"/>
                <w:rFonts w:ascii="Arial" w:hAnsi="Arial" w:cs="Arial"/>
                <w:i w:val="0"/>
                <w:sz w:val="22"/>
                <w:szCs w:val="22"/>
              </w:rPr>
              <w:t>em 4</w:t>
            </w:r>
            <w:r w:rsidRPr="00051F53">
              <w:rPr>
                <w:rStyle w:val="nfase"/>
                <w:rFonts w:ascii="Arial" w:hAnsi="Arial" w:cs="Arial"/>
                <w:i w:val="0"/>
                <w:sz w:val="22"/>
                <w:szCs w:val="22"/>
              </w:rPr>
              <w:t xml:space="preserve"> do Termo de Referência)</w:t>
            </w:r>
          </w:p>
          <w:p w14:paraId="67E4CDE5" w14:textId="77777777" w:rsidR="00051F53" w:rsidRPr="00051F53" w:rsidRDefault="00051F53" w:rsidP="007254EC">
            <w:pPr>
              <w:jc w:val="center"/>
              <w:rPr>
                <w:rStyle w:val="nfase"/>
                <w:rFonts w:ascii="Arial" w:hAnsi="Arial" w:cs="Arial"/>
                <w:b/>
                <w:i w:val="0"/>
                <w:sz w:val="12"/>
                <w:szCs w:val="12"/>
              </w:rPr>
            </w:pPr>
          </w:p>
        </w:tc>
      </w:tr>
      <w:tr w:rsidR="00051F53" w:rsidRPr="00051F53" w14:paraId="50D55AF2" w14:textId="77777777" w:rsidTr="001400C1">
        <w:trPr>
          <w:trHeight w:val="1268"/>
        </w:trPr>
        <w:tc>
          <w:tcPr>
            <w:tcW w:w="4673" w:type="dxa"/>
            <w:gridSpan w:val="2"/>
          </w:tcPr>
          <w:p w14:paraId="6FFA7143" w14:textId="77777777" w:rsidR="00051F53" w:rsidRPr="00051F53" w:rsidRDefault="00051F53" w:rsidP="007254EC">
            <w:pPr>
              <w:jc w:val="center"/>
              <w:rPr>
                <w:rStyle w:val="nfase"/>
                <w:rFonts w:ascii="Arial" w:hAnsi="Arial" w:cs="Arial"/>
                <w:i w:val="0"/>
                <w:sz w:val="12"/>
                <w:szCs w:val="12"/>
              </w:rPr>
            </w:pPr>
          </w:p>
          <w:p w14:paraId="75D7FDEA"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Requisitos básicos:</w:t>
            </w:r>
          </w:p>
          <w:p w14:paraId="7A34ED7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SICAF</w:t>
            </w:r>
          </w:p>
          <w:p w14:paraId="5B871159"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Atestado de Capacidade Técnica</w:t>
            </w:r>
          </w:p>
          <w:p w14:paraId="67B16DCE" w14:textId="3B15779D" w:rsidR="00051F53" w:rsidRPr="00051F53" w:rsidRDefault="0091685F" w:rsidP="007254EC">
            <w:pPr>
              <w:rPr>
                <w:rStyle w:val="nfase"/>
                <w:rFonts w:ascii="Arial" w:hAnsi="Arial" w:cs="Arial"/>
                <w:i w:val="0"/>
                <w:sz w:val="20"/>
                <w:szCs w:val="20"/>
              </w:rPr>
            </w:pPr>
            <w:r>
              <w:rPr>
                <w:rStyle w:val="nfase"/>
                <w:rFonts w:ascii="Arial" w:hAnsi="Arial" w:cs="Arial"/>
                <w:i w:val="0"/>
                <w:sz w:val="20"/>
                <w:szCs w:val="20"/>
              </w:rPr>
              <w:t>Certidão N</w:t>
            </w:r>
            <w:r w:rsidR="00051F53" w:rsidRPr="00051F53">
              <w:rPr>
                <w:rStyle w:val="nfase"/>
                <w:rFonts w:ascii="Arial" w:hAnsi="Arial" w:cs="Arial"/>
                <w:i w:val="0"/>
                <w:sz w:val="20"/>
                <w:szCs w:val="20"/>
              </w:rPr>
              <w:t>egativa de Falência</w:t>
            </w:r>
          </w:p>
          <w:p w14:paraId="1CCE55F3" w14:textId="77777777" w:rsidR="00051F53" w:rsidRPr="00051F53" w:rsidRDefault="00051F53" w:rsidP="007254EC">
            <w:pPr>
              <w:rPr>
                <w:rStyle w:val="nfase"/>
                <w:rFonts w:ascii="Arial" w:hAnsi="Arial" w:cs="Arial"/>
                <w:i w:val="0"/>
                <w:sz w:val="12"/>
                <w:szCs w:val="12"/>
              </w:rPr>
            </w:pPr>
          </w:p>
        </w:tc>
        <w:tc>
          <w:tcPr>
            <w:tcW w:w="5521" w:type="dxa"/>
            <w:gridSpan w:val="2"/>
          </w:tcPr>
          <w:p w14:paraId="32C40426" w14:textId="77777777" w:rsidR="00051F53" w:rsidRPr="00051F53" w:rsidRDefault="00051F53" w:rsidP="007254EC">
            <w:pPr>
              <w:rPr>
                <w:rStyle w:val="nfase"/>
                <w:rFonts w:ascii="Arial" w:hAnsi="Arial" w:cs="Arial"/>
                <w:b/>
                <w:i w:val="0"/>
                <w:sz w:val="12"/>
                <w:szCs w:val="12"/>
              </w:rPr>
            </w:pPr>
          </w:p>
          <w:p w14:paraId="24DFFA7A"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Requisitos específicos:</w:t>
            </w:r>
          </w:p>
          <w:p w14:paraId="0BCD9B1B" w14:textId="1B057F9F" w:rsidR="001400C1" w:rsidRDefault="001400C1" w:rsidP="007254EC">
            <w:pPr>
              <w:rPr>
                <w:rStyle w:val="nfase"/>
                <w:rFonts w:ascii="Arial" w:hAnsi="Arial" w:cs="Arial"/>
                <w:i w:val="0"/>
                <w:sz w:val="20"/>
                <w:szCs w:val="20"/>
              </w:rPr>
            </w:pPr>
            <w:r>
              <w:rPr>
                <w:rStyle w:val="nfase"/>
                <w:rFonts w:ascii="Arial" w:hAnsi="Arial" w:cs="Arial"/>
                <w:i w:val="0"/>
                <w:sz w:val="20"/>
                <w:szCs w:val="20"/>
              </w:rPr>
              <w:t>CTF - IBAMA;</w:t>
            </w:r>
          </w:p>
          <w:p w14:paraId="65918BF8" w14:textId="2D36356C" w:rsidR="00051F53" w:rsidRPr="00051F53" w:rsidRDefault="001400C1" w:rsidP="007254EC">
            <w:pPr>
              <w:rPr>
                <w:rStyle w:val="nfase"/>
                <w:rFonts w:ascii="Arial" w:hAnsi="Arial" w:cs="Arial"/>
                <w:i w:val="0"/>
                <w:sz w:val="20"/>
                <w:szCs w:val="20"/>
              </w:rPr>
            </w:pPr>
            <w:proofErr w:type="spellStart"/>
            <w:r>
              <w:rPr>
                <w:rStyle w:val="nfase"/>
                <w:rFonts w:ascii="Arial" w:hAnsi="Arial" w:cs="Arial"/>
                <w:i w:val="0"/>
                <w:sz w:val="20"/>
                <w:szCs w:val="20"/>
              </w:rPr>
              <w:t>Cerflor</w:t>
            </w:r>
            <w:proofErr w:type="spellEnd"/>
            <w:r>
              <w:rPr>
                <w:rStyle w:val="nfase"/>
                <w:rFonts w:ascii="Arial" w:hAnsi="Arial" w:cs="Arial"/>
                <w:i w:val="0"/>
                <w:sz w:val="20"/>
                <w:szCs w:val="20"/>
              </w:rPr>
              <w:t xml:space="preserve"> ou FSC.</w:t>
            </w:r>
          </w:p>
          <w:p w14:paraId="1BB383D6" w14:textId="77777777" w:rsidR="00051F53" w:rsidRPr="00051F53" w:rsidRDefault="00051F53" w:rsidP="007254EC">
            <w:pPr>
              <w:rPr>
                <w:rStyle w:val="nfase"/>
                <w:rFonts w:ascii="Arial" w:hAnsi="Arial" w:cs="Arial"/>
                <w:i w:val="0"/>
                <w:sz w:val="12"/>
                <w:szCs w:val="12"/>
              </w:rPr>
            </w:pPr>
          </w:p>
        </w:tc>
      </w:tr>
      <w:tr w:rsidR="00051F53" w:rsidRPr="00051F53" w14:paraId="79E10370" w14:textId="77777777" w:rsidTr="007254EC">
        <w:tc>
          <w:tcPr>
            <w:tcW w:w="10194" w:type="dxa"/>
            <w:gridSpan w:val="4"/>
          </w:tcPr>
          <w:p w14:paraId="240EC437" w14:textId="77777777" w:rsidR="00051F53" w:rsidRPr="00051F53" w:rsidRDefault="00051F53" w:rsidP="007254EC">
            <w:pPr>
              <w:jc w:val="center"/>
              <w:rPr>
                <w:rStyle w:val="nfase"/>
                <w:rFonts w:ascii="Arial" w:hAnsi="Arial" w:cs="Arial"/>
                <w:i w:val="0"/>
                <w:sz w:val="12"/>
                <w:szCs w:val="12"/>
              </w:rPr>
            </w:pPr>
          </w:p>
          <w:p w14:paraId="658A44B3"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Prazo para envio de proposta / documentação:</w:t>
            </w:r>
          </w:p>
          <w:p w14:paraId="047A7540"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68F0D324" w14:textId="77777777" w:rsidR="00051F53" w:rsidRPr="00051F53" w:rsidRDefault="00051F53" w:rsidP="007254EC">
            <w:pPr>
              <w:jc w:val="center"/>
              <w:rPr>
                <w:rStyle w:val="nfase"/>
                <w:rFonts w:ascii="Arial" w:hAnsi="Arial" w:cs="Arial"/>
                <w:i w:val="0"/>
                <w:sz w:val="12"/>
                <w:szCs w:val="12"/>
              </w:rPr>
            </w:pPr>
          </w:p>
        </w:tc>
      </w:tr>
      <w:tr w:rsidR="00051F53" w:rsidRPr="00051F53" w14:paraId="7F22C2E1" w14:textId="77777777" w:rsidTr="007254EC">
        <w:tc>
          <w:tcPr>
            <w:tcW w:w="10194" w:type="dxa"/>
            <w:gridSpan w:val="4"/>
          </w:tcPr>
          <w:p w14:paraId="484DC717" w14:textId="77777777" w:rsidR="00051F53" w:rsidRPr="00051F53" w:rsidRDefault="00051F53" w:rsidP="007254EC">
            <w:pPr>
              <w:jc w:val="center"/>
              <w:rPr>
                <w:rStyle w:val="nfase"/>
                <w:rFonts w:ascii="Arial" w:hAnsi="Arial" w:cs="Arial"/>
                <w:i w:val="0"/>
                <w:sz w:val="12"/>
                <w:szCs w:val="12"/>
              </w:rPr>
            </w:pPr>
          </w:p>
          <w:p w14:paraId="6ADB8A4E"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Observações Gerais:</w:t>
            </w:r>
          </w:p>
          <w:p w14:paraId="0355C116" w14:textId="77777777" w:rsidR="00051F53" w:rsidRPr="00051F53" w:rsidRDefault="00051F53" w:rsidP="007254E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BDD0817" w14:textId="77777777" w:rsidR="00051F53" w:rsidRPr="00051F53" w:rsidRDefault="00051F53" w:rsidP="007254EC">
            <w:pPr>
              <w:jc w:val="both"/>
              <w:rPr>
                <w:rStyle w:val="nfase"/>
                <w:rFonts w:ascii="Arial" w:hAnsi="Arial" w:cs="Arial"/>
                <w:i w:val="0"/>
                <w:sz w:val="12"/>
                <w:szCs w:val="12"/>
              </w:rPr>
            </w:pPr>
          </w:p>
          <w:p w14:paraId="398C1C71" w14:textId="77777777" w:rsidR="00051F53" w:rsidRPr="00051F53" w:rsidRDefault="00051F53" w:rsidP="007254E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4234D02A" w14:textId="77777777" w:rsidR="00051F53" w:rsidRPr="00981AB3" w:rsidRDefault="00051F53" w:rsidP="007254EC">
            <w:pPr>
              <w:rPr>
                <w:rStyle w:val="nfase"/>
                <w:rFonts w:ascii="Arial" w:hAnsi="Arial" w:cs="Arial"/>
                <w:b/>
                <w:i w:val="0"/>
                <w:sz w:val="12"/>
                <w:szCs w:val="12"/>
              </w:rPr>
            </w:pPr>
          </w:p>
        </w:tc>
      </w:tr>
    </w:tbl>
    <w:p w14:paraId="752167D3" w14:textId="77777777" w:rsidR="00946D64" w:rsidRDefault="00946D64" w:rsidP="00FD7C82">
      <w:pPr>
        <w:jc w:val="center"/>
        <w:rPr>
          <w:rStyle w:val="nfase"/>
          <w:rFonts w:ascii="Arial" w:hAnsi="Arial" w:cs="Arial"/>
          <w:i w:val="0"/>
          <w:sz w:val="32"/>
          <w:szCs w:val="32"/>
        </w:rPr>
      </w:pPr>
    </w:p>
    <w:p w14:paraId="4F77BC76" w14:textId="07DD8DCA" w:rsidR="00981AB3" w:rsidRDefault="00981AB3" w:rsidP="008F330B">
      <w:pPr>
        <w:spacing w:beforeLines="120" w:before="288" w:afterLines="120" w:after="288" w:line="312" w:lineRule="auto"/>
        <w:ind w:firstLine="567"/>
        <w:jc w:val="center"/>
        <w:rPr>
          <w:rFonts w:ascii="Arial" w:hAnsi="Arial" w:cs="Arial"/>
          <w:b/>
          <w:color w:val="000000"/>
          <w:sz w:val="20"/>
          <w:szCs w:val="20"/>
        </w:rPr>
      </w:pPr>
    </w:p>
    <w:p w14:paraId="59953C59" w14:textId="098B9082" w:rsidR="00211AA5" w:rsidRDefault="00211AA5" w:rsidP="008F330B">
      <w:pPr>
        <w:spacing w:beforeLines="120" w:before="288" w:afterLines="120" w:after="288" w:line="312" w:lineRule="auto"/>
        <w:ind w:firstLine="567"/>
        <w:jc w:val="center"/>
        <w:rPr>
          <w:rFonts w:ascii="Arial" w:hAnsi="Arial" w:cs="Arial"/>
          <w:b/>
          <w:color w:val="000000"/>
          <w:sz w:val="20"/>
          <w:szCs w:val="20"/>
        </w:rPr>
      </w:pPr>
    </w:p>
    <w:p w14:paraId="4A338033" w14:textId="77777777" w:rsidR="00211AA5" w:rsidRDefault="00211AA5" w:rsidP="008F330B">
      <w:pPr>
        <w:spacing w:beforeLines="120" w:before="288" w:afterLines="120" w:after="288" w:line="312" w:lineRule="auto"/>
        <w:ind w:firstLine="567"/>
        <w:jc w:val="center"/>
        <w:rPr>
          <w:rFonts w:ascii="Arial" w:hAnsi="Arial" w:cs="Arial"/>
          <w:b/>
          <w:color w:val="000000"/>
          <w:sz w:val="20"/>
          <w:szCs w:val="20"/>
        </w:rPr>
      </w:pPr>
    </w:p>
    <w:p w14:paraId="79841B6D" w14:textId="15167CDA"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REGÃO ELETRÔNICO</w:t>
      </w:r>
      <w:r w:rsidR="00A712D0">
        <w:rPr>
          <w:rFonts w:ascii="Arial" w:hAnsi="Arial" w:cs="Arial"/>
          <w:b/>
          <w:color w:val="000000"/>
          <w:sz w:val="20"/>
          <w:szCs w:val="20"/>
        </w:rPr>
        <w:t xml:space="preserve"> SRP</w:t>
      </w:r>
      <w:r w:rsidR="003C7A23" w:rsidRPr="006E1990">
        <w:rPr>
          <w:rFonts w:ascii="Arial" w:hAnsi="Arial" w:cs="Arial"/>
          <w:b/>
          <w:color w:val="000000"/>
          <w:sz w:val="20"/>
          <w:szCs w:val="20"/>
        </w:rPr>
        <w:t xml:space="preserve"> Nº </w:t>
      </w:r>
      <w:r w:rsidR="00AF3A98">
        <w:rPr>
          <w:rFonts w:ascii="Arial" w:hAnsi="Arial" w:cs="Arial"/>
          <w:b/>
          <w:color w:val="000000"/>
          <w:sz w:val="20"/>
          <w:szCs w:val="20"/>
        </w:rPr>
        <w:t>90011/2024</w:t>
      </w:r>
    </w:p>
    <w:p w14:paraId="1CC7C9FE" w14:textId="7E7583D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AF3A98">
        <w:rPr>
          <w:rFonts w:ascii="Arial" w:hAnsi="Arial" w:cs="Arial"/>
          <w:bCs/>
          <w:color w:val="000000"/>
          <w:sz w:val="20"/>
          <w:szCs w:val="20"/>
        </w:rPr>
        <w:t>875/2024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0C592FCD"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w:t>
      </w:r>
      <w:r w:rsidR="004F0BF0">
        <w:rPr>
          <w:rFonts w:ascii="Arial" w:hAnsi="Arial" w:cs="Arial"/>
          <w:color w:val="000000"/>
          <w:sz w:val="20"/>
          <w:szCs w:val="20"/>
        </w:rPr>
        <w:t xml:space="preserve">para registro de preços, </w:t>
      </w:r>
      <w:r w:rsidRPr="006E1990">
        <w:rPr>
          <w:rFonts w:ascii="Arial" w:hAnsi="Arial" w:cs="Arial"/>
          <w:color w:val="000000"/>
          <w:sz w:val="20"/>
          <w:szCs w:val="20"/>
        </w:rPr>
        <w:t>na modalidade PREGÃO ELETRÔNIC</w:t>
      </w:r>
      <w:r w:rsidR="00A712D0">
        <w:rPr>
          <w:rFonts w:ascii="Arial" w:hAnsi="Arial" w:cs="Arial"/>
          <w:color w:val="000000"/>
          <w:sz w:val="20"/>
          <w:szCs w:val="20"/>
        </w:rPr>
        <w:t>O SRP nº 90011/2024</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6727E2">
        <w:rPr>
          <w:rFonts w:ascii="Arial" w:hAnsi="Arial" w:cs="Arial"/>
          <w:b/>
          <w:color w:val="000000"/>
          <w:sz w:val="20"/>
          <w:szCs w:val="20"/>
        </w:rPr>
        <w:t xml:space="preserve">1º de agosto </w:t>
      </w:r>
      <w:r w:rsidR="00E9423F">
        <w:rPr>
          <w:rFonts w:ascii="Arial" w:hAnsi="Arial" w:cs="Arial"/>
          <w:b/>
          <w:color w:val="000000"/>
          <w:sz w:val="20"/>
          <w:szCs w:val="20"/>
        </w:rPr>
        <w:t>de 202</w:t>
      </w:r>
      <w:r w:rsidR="00302B9B">
        <w:rPr>
          <w:rFonts w:ascii="Arial" w:hAnsi="Arial" w:cs="Arial"/>
          <w:b/>
          <w:color w:val="000000"/>
          <w:sz w:val="20"/>
          <w:szCs w:val="20"/>
        </w:rPr>
        <w:t>4</w:t>
      </w:r>
      <w:r w:rsidR="0058255D">
        <w:rPr>
          <w:rFonts w:ascii="Arial" w:hAnsi="Arial" w:cs="Arial"/>
          <w:b/>
          <w:color w:val="000000"/>
          <w:sz w:val="20"/>
          <w:szCs w:val="20"/>
        </w:rPr>
        <w:t xml:space="preserve"> (</w:t>
      </w:r>
      <w:r w:rsidR="006727E2">
        <w:rPr>
          <w:rFonts w:ascii="Arial" w:hAnsi="Arial" w:cs="Arial"/>
          <w:b/>
          <w:color w:val="000000"/>
          <w:sz w:val="20"/>
          <w:szCs w:val="20"/>
        </w:rPr>
        <w:t>quinta</w:t>
      </w:r>
      <w:r w:rsidR="0058255D">
        <w:rPr>
          <w:rFonts w:ascii="Arial" w:hAnsi="Arial" w:cs="Arial"/>
          <w:b/>
          <w:color w:val="000000"/>
          <w:sz w:val="20"/>
          <w:szCs w:val="20"/>
        </w:rPr>
        <w:t>-feira)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w:t>
      </w:r>
      <w:r w:rsidR="002877DF">
        <w:rPr>
          <w:rFonts w:ascii="Arial" w:hAnsi="Arial" w:cs="Arial"/>
          <w:sz w:val="20"/>
          <w:szCs w:val="20"/>
        </w:rPr>
        <w:t xml:space="preserve"> Complementar </w:t>
      </w:r>
      <w:r w:rsidR="004F5D15">
        <w:rPr>
          <w:rFonts w:ascii="Arial" w:hAnsi="Arial" w:cs="Arial"/>
          <w:sz w:val="20"/>
          <w:szCs w:val="20"/>
        </w:rPr>
        <w:t>nº 123/2006 e Lei</w:t>
      </w:r>
      <w:r w:rsidR="00540D0C">
        <w:rPr>
          <w:rFonts w:ascii="Arial" w:hAnsi="Arial" w:cs="Arial"/>
          <w:sz w:val="20"/>
          <w:szCs w:val="20"/>
        </w:rPr>
        <w:t xml:space="preserve"> </w:t>
      </w:r>
      <w:r w:rsidRPr="00C32D0A">
        <w:rPr>
          <w:rFonts w:ascii="Arial" w:hAnsi="Arial" w:cs="Arial"/>
          <w:sz w:val="20"/>
          <w:szCs w:val="20"/>
        </w:rPr>
        <w:t>nº 14.133</w:t>
      </w:r>
      <w:r w:rsidR="00C32D0A">
        <w:rPr>
          <w:rFonts w:ascii="Arial" w:hAnsi="Arial" w:cs="Arial"/>
          <w:sz w:val="20"/>
          <w:szCs w:val="20"/>
        </w:rPr>
        <w:t>/2021</w:t>
      </w:r>
      <w:r w:rsidRPr="006E1990">
        <w:rPr>
          <w:rFonts w:ascii="Arial" w:hAnsi="Arial" w:cs="Arial"/>
          <w:sz w:val="20"/>
          <w:szCs w:val="20"/>
        </w:rPr>
        <w:t>,</w:t>
      </w:r>
      <w:r w:rsidR="004F0BF0">
        <w:rPr>
          <w:rFonts w:ascii="Arial" w:hAnsi="Arial" w:cs="Arial"/>
          <w:sz w:val="20"/>
          <w:szCs w:val="20"/>
        </w:rPr>
        <w:t xml:space="preserve"> do</w:t>
      </w:r>
      <w:r w:rsidR="00E14D71">
        <w:rPr>
          <w:rFonts w:ascii="Arial" w:hAnsi="Arial" w:cs="Arial"/>
          <w:sz w:val="20"/>
          <w:szCs w:val="20"/>
        </w:rPr>
        <w:t>s</w:t>
      </w:r>
      <w:r w:rsidR="004F70C6">
        <w:rPr>
          <w:rFonts w:ascii="Arial" w:hAnsi="Arial" w:cs="Arial"/>
          <w:sz w:val="20"/>
          <w:szCs w:val="20"/>
        </w:rPr>
        <w:t xml:space="preserve"> Decreto</w:t>
      </w:r>
      <w:r w:rsidR="00E14D71">
        <w:rPr>
          <w:rFonts w:ascii="Arial" w:hAnsi="Arial" w:cs="Arial"/>
          <w:sz w:val="20"/>
          <w:szCs w:val="20"/>
        </w:rPr>
        <w:t xml:space="preserve">s nº 8.538/2015 e </w:t>
      </w:r>
      <w:r w:rsidR="004F70C6">
        <w:rPr>
          <w:rFonts w:ascii="Arial" w:hAnsi="Arial" w:cs="Arial"/>
          <w:sz w:val="20"/>
          <w:szCs w:val="20"/>
        </w:rPr>
        <w:t xml:space="preserve"> </w:t>
      </w:r>
      <w:r w:rsidR="004F0BF0">
        <w:rPr>
          <w:rFonts w:ascii="Arial" w:hAnsi="Arial" w:cs="Arial"/>
          <w:sz w:val="20"/>
          <w:szCs w:val="20"/>
        </w:rPr>
        <w:t>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B43170C" w14:textId="1F67462D" w:rsidR="003C7A23" w:rsidRPr="00ED2C3F" w:rsidRDefault="003C7A23" w:rsidP="006255B2">
      <w:pPr>
        <w:pStyle w:val="Nivel2"/>
        <w:spacing w:beforeLines="120" w:before="288" w:afterLines="120" w:after="288" w:line="312" w:lineRule="auto"/>
        <w:ind w:left="993" w:hanging="567"/>
        <w:rPr>
          <w:rFonts w:eastAsia="Times New Roman"/>
          <w:color w:val="auto"/>
        </w:rPr>
      </w:pPr>
      <w:r w:rsidRPr="00ED2C3F">
        <w:rPr>
          <w:rFonts w:eastAsia="Times New Roman"/>
          <w:color w:val="auto"/>
        </w:rPr>
        <w:t xml:space="preserve">O objeto da presente licitação é </w:t>
      </w:r>
      <w:r w:rsidR="00ED2C3F" w:rsidRPr="00ED2C3F">
        <w:rPr>
          <w:rFonts w:eastAsia="Times New Roman"/>
          <w:color w:val="auto"/>
        </w:rPr>
        <w:t xml:space="preserve">o </w:t>
      </w:r>
      <w:r w:rsidR="00ED2C3F" w:rsidRPr="00ED2C3F">
        <w:rPr>
          <w:rFonts w:ascii="Helvetica" w:hAnsi="Helvetica" w:cs="Helvetica"/>
        </w:rPr>
        <w:t xml:space="preserve">registro de preços para </w:t>
      </w:r>
      <w:r w:rsidR="00B343E1">
        <w:rPr>
          <w:rFonts w:ascii="Helvetica" w:hAnsi="Helvetica" w:cs="Helvetica"/>
        </w:rPr>
        <w:t>a</w:t>
      </w:r>
      <w:r w:rsidR="00946442">
        <w:rPr>
          <w:rFonts w:ascii="Helvetica" w:hAnsi="Helvetica" w:cs="Helvetica"/>
        </w:rPr>
        <w:t xml:space="preserve"> </w:t>
      </w:r>
      <w:r w:rsidR="009E5F26">
        <w:rPr>
          <w:rFonts w:ascii="Helvetica-Bold" w:hAnsi="Helvetica-Bold" w:cs="Helvetica-Bold"/>
          <w:bCs/>
        </w:rPr>
        <w:t xml:space="preserve">aquisição de </w:t>
      </w:r>
      <w:r w:rsidR="00CF2E49">
        <w:rPr>
          <w:rFonts w:ascii="Helvetica-Bold" w:hAnsi="Helvetica-Bold" w:cs="Helvetica-Bold"/>
          <w:bCs/>
        </w:rPr>
        <w:t xml:space="preserve">materiais </w:t>
      </w:r>
      <w:r w:rsidR="004F5D15">
        <w:rPr>
          <w:rFonts w:ascii="Helvetica-Bold" w:hAnsi="Helvetica-Bold" w:cs="Helvetica-Bold"/>
          <w:bCs/>
        </w:rPr>
        <w:t xml:space="preserve">de </w:t>
      </w:r>
      <w:r w:rsidR="00946442">
        <w:rPr>
          <w:rFonts w:ascii="Helvetica-Bold" w:hAnsi="Helvetica-Bold" w:cs="Helvetica-Bold"/>
          <w:bCs/>
        </w:rPr>
        <w:t>expediente</w:t>
      </w:r>
      <w:r w:rsidR="00ED2C3F" w:rsidRPr="00ED2C3F">
        <w:rPr>
          <w:rFonts w:ascii="Helvetica-Bold" w:hAnsi="Helvetica-Bold" w:cs="Helvetica-Bold"/>
          <w:bCs/>
        </w:rPr>
        <w:t xml:space="preserve">, </w:t>
      </w:r>
      <w:r w:rsidR="003B6099" w:rsidRPr="00ED2C3F">
        <w:rPr>
          <w:color w:val="auto"/>
        </w:rPr>
        <w:t>conforme as especificações, quantidades e exigên</w:t>
      </w:r>
      <w:r w:rsidR="004F5D15">
        <w:rPr>
          <w:color w:val="auto"/>
        </w:rPr>
        <w:t xml:space="preserve">cias estabelecidas neste Edital, no Termo de Referência </w:t>
      </w:r>
      <w:r w:rsidR="003B6099" w:rsidRPr="00ED2C3F">
        <w:rPr>
          <w:color w:val="auto"/>
        </w:rPr>
        <w:t xml:space="preserve">e </w:t>
      </w:r>
      <w:r w:rsidR="004F5D15">
        <w:rPr>
          <w:color w:val="auto"/>
        </w:rPr>
        <w:t xml:space="preserve">nos </w:t>
      </w:r>
      <w:r w:rsidR="003B6099" w:rsidRPr="00ED2C3F">
        <w:rPr>
          <w:color w:val="auto"/>
        </w:rPr>
        <w:t>Anexos</w:t>
      </w:r>
      <w:r w:rsidR="009753A6" w:rsidRPr="00ED2C3F">
        <w:rPr>
          <w:color w:val="auto"/>
        </w:rPr>
        <w:t xml:space="preserve"> (</w:t>
      </w:r>
      <w:r w:rsidR="002219E0">
        <w:rPr>
          <w:color w:val="auto"/>
        </w:rPr>
        <w:t>Minuta de Ata de Registro de Preços</w:t>
      </w:r>
      <w:r w:rsidR="009753A6" w:rsidRPr="00ED2C3F">
        <w:rPr>
          <w:color w:val="auto"/>
        </w:rPr>
        <w:t>)</w:t>
      </w:r>
      <w:r w:rsidR="003B6099" w:rsidRPr="00ED2C3F">
        <w:rPr>
          <w:color w:val="auto"/>
        </w:rPr>
        <w:t>.</w:t>
      </w:r>
    </w:p>
    <w:p w14:paraId="260A4900" w14:textId="69A00A3A" w:rsidR="005776D7" w:rsidRPr="006E1990" w:rsidRDefault="00D40949" w:rsidP="005776D7">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4E272B">
        <w:t xml:space="preserve"> e grupo</w:t>
      </w:r>
      <w:r w:rsidR="00A1772D">
        <w:t xml:space="preserve">, </w:t>
      </w:r>
      <w:r w:rsidR="003228AF" w:rsidRPr="00A1772D">
        <w:t>conforme tabela constante do Termo de Referência, facultando-se ao licitante a participação em quant</w:t>
      </w:r>
      <w:r w:rsidR="00362356">
        <w:t xml:space="preserve">os itens </w:t>
      </w:r>
      <w:r w:rsidR="009E5F26">
        <w:t xml:space="preserve">ou grupos </w:t>
      </w:r>
      <w:r w:rsidR="00362356">
        <w:t>forem de seu interesse</w:t>
      </w:r>
      <w:r w:rsidR="009E5F26">
        <w:t xml:space="preserve">, </w:t>
      </w:r>
      <w:r w:rsidR="005776D7">
        <w:t>d</w:t>
      </w:r>
      <w:r w:rsidR="005776D7" w:rsidRPr="006E1990">
        <w:t xml:space="preserve">evendo </w:t>
      </w:r>
      <w:r w:rsidR="00EC0311">
        <w:t xml:space="preserve">a licitante </w:t>
      </w:r>
      <w:r w:rsidR="005776D7" w:rsidRPr="006E1990">
        <w:t>oferecer proposta p</w:t>
      </w:r>
      <w:r w:rsidR="009E5F26">
        <w:t>ara todos os itens que o compõem o grupo.</w:t>
      </w:r>
    </w:p>
    <w:p w14:paraId="652D74AE" w14:textId="3423B66D"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w:t>
      </w:r>
      <w:r w:rsidR="00786BA4">
        <w:t xml:space="preserve"> </w:t>
      </w:r>
      <w:r>
        <w:t>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2E042808" w14:textId="0C95C16E" w:rsidR="00E06635" w:rsidRDefault="00E06635" w:rsidP="00C32D0A">
      <w:pPr>
        <w:pStyle w:val="Nivel01"/>
        <w:tabs>
          <w:tab w:val="clear" w:pos="567"/>
        </w:tabs>
        <w:spacing w:beforeLines="120" w:before="288" w:afterLines="120" w:after="288" w:line="312" w:lineRule="auto"/>
        <w:ind w:left="426" w:hanging="426"/>
      </w:pPr>
      <w:bookmarkStart w:id="1" w:name="_Toc122606104"/>
      <w:r>
        <w:t>DO REGISTRO DE PREÇOS</w:t>
      </w:r>
    </w:p>
    <w:p w14:paraId="682A56D9" w14:textId="7FFC3603" w:rsidR="00E06635" w:rsidRPr="00E06635" w:rsidRDefault="00E06635" w:rsidP="007A7F6C">
      <w:pPr>
        <w:pStyle w:val="Nivel2"/>
        <w:spacing w:beforeLines="120" w:before="288" w:afterLines="120" w:after="288" w:line="312" w:lineRule="auto"/>
        <w:ind w:left="993" w:hanging="567"/>
      </w:pPr>
      <w:r w:rsidRPr="00E06635">
        <w:rPr>
          <w:rFonts w:eastAsia="Times New Roman"/>
          <w:color w:val="auto"/>
        </w:rPr>
        <w:t>As regras referentes ao órgão</w:t>
      </w:r>
      <w:r w:rsidR="00946442">
        <w:rPr>
          <w:rFonts w:eastAsia="Times New Roman"/>
          <w:color w:val="auto"/>
        </w:rPr>
        <w:t xml:space="preserve"> </w:t>
      </w:r>
      <w:r w:rsidRPr="00E06635">
        <w:rPr>
          <w:rFonts w:eastAsia="Times New Roman"/>
          <w:color w:val="auto"/>
        </w:rPr>
        <w:t>gerenciador, bem como eventuais adesões são as que constam da minuta de Ata de Registro de Preços.</w:t>
      </w:r>
    </w:p>
    <w:p w14:paraId="362AFB15" w14:textId="5BD24DEB"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2260A410" w:rsidR="00DD628D" w:rsidRPr="002E25DC" w:rsidRDefault="002860AA"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 é exclusiva a microempresas e empresas de pequeno porte,</w:t>
      </w:r>
      <w:r w:rsidR="00386712">
        <w:rPr>
          <w:color w:val="auto"/>
        </w:rPr>
        <w:t xml:space="preserve"> </w:t>
      </w:r>
      <w:r w:rsidR="00DD628D" w:rsidRPr="00DD628D">
        <w:rPr>
          <w:color w:val="auto"/>
        </w:rPr>
        <w:t>nos termos do art. 48 da Lei Complementar nº 123/2006.</w:t>
      </w:r>
    </w:p>
    <w:p w14:paraId="63C98936" w14:textId="6B3E2DBC" w:rsid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2"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1AAA3D18"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contratante, devendo ser observadas as situações que possam configurar conflito de interesses no exercício ou após o exercício do cargo, nos termos da legislação que disciplina a matéria, conforme </w:t>
      </w:r>
      <w:hyperlink r:id="rId14"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6BB3C620"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3E4F7D">
        <w:t>a</w:t>
      </w:r>
      <w:r w:rsidR="00081B4D" w:rsidRPr="0011235B">
        <w:t>gente público do órgão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695BF1F1"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2D1B94">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0AF0FFD" w:rsidR="003C7A23" w:rsidRPr="00EA6903" w:rsidRDefault="00934C3A" w:rsidP="003545B4">
      <w:pPr>
        <w:pStyle w:val="Nivel2"/>
        <w:numPr>
          <w:ilvl w:val="2"/>
          <w:numId w:val="1"/>
        </w:numPr>
        <w:autoSpaceDE w:val="0"/>
        <w:snapToGrid w:val="0"/>
        <w:spacing w:beforeLines="120" w:before="288" w:afterLines="120" w:after="288" w:line="312" w:lineRule="auto"/>
        <w:ind w:left="1701" w:hanging="708"/>
      </w:pPr>
      <w:r>
        <w:t xml:space="preserve">Valor unitário e total </w:t>
      </w:r>
      <w:r w:rsidR="009A2F63"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02A8E6C9" w:rsidR="00EA6903" w:rsidRPr="004751DB" w:rsidRDefault="00EA6903" w:rsidP="006B260F">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rsidR="00E26594">
        <w:t xml:space="preserve"> / Compras.gov</w:t>
      </w:r>
      <w:r>
        <w:t>)</w:t>
      </w:r>
      <w:r w:rsidRPr="004751DB">
        <w:t xml:space="preserve"> e as especificações constantes deste Edital, prevalecerão as do Edital.</w:t>
      </w:r>
    </w:p>
    <w:p w14:paraId="5F5E5E8C" w14:textId="3B2F4F7A"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F32E136" w14:textId="13DA0300" w:rsidR="007C23DC" w:rsidRPr="007C23DC" w:rsidRDefault="007C23DC" w:rsidP="007C23DC">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máximo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5324EAF"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r w:rsidR="00934C3A">
        <w:t>, observado o critério de julgamento MENOR PREÇO POR ITEM E POR GRUPO</w:t>
      </w:r>
      <w:r w:rsidR="001166B4" w:rsidRPr="009F16B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12495A"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12495A">
        <w:rPr>
          <w:b/>
        </w:rPr>
        <w:t xml:space="preserve">1,00% </w:t>
      </w:r>
      <w:r w:rsidRPr="0012495A">
        <w:rPr>
          <w:b/>
        </w:rPr>
        <w:t>(</w:t>
      </w:r>
      <w:r w:rsidR="00CE06E0" w:rsidRPr="0012495A">
        <w:rPr>
          <w:b/>
        </w:rPr>
        <w:t xml:space="preserve">um </w:t>
      </w:r>
      <w:r w:rsidR="001166B4" w:rsidRPr="0012495A">
        <w:rPr>
          <w:b/>
        </w:rPr>
        <w:t>por cento</w:t>
      </w:r>
      <w:r w:rsidRPr="0012495A">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12495A">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822F26C" w14:textId="77777777" w:rsidR="00C72908" w:rsidRPr="006E1990" w:rsidRDefault="00C72908" w:rsidP="006D7A93">
      <w:pPr>
        <w:pStyle w:val="Nivel2"/>
        <w:spacing w:beforeLines="120" w:before="288" w:afterLines="120" w:after="288" w:line="312" w:lineRule="auto"/>
        <w:ind w:left="993" w:hanging="567"/>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A41A7E7"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BC306EB"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mpresas estabelecidas no território do Estado</w:t>
      </w:r>
      <w:r w:rsidR="00BA5BAE">
        <w:t xml:space="preserve"> de Mato Grosso do Sul; </w:t>
      </w:r>
    </w:p>
    <w:p w14:paraId="3429A3C6" w14:textId="6C7364C3"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E909E6"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3891329B" w14:textId="0E5D0289" w:rsidR="00E909E6" w:rsidRPr="00E909E6" w:rsidRDefault="00E909E6" w:rsidP="0031699A">
      <w:pPr>
        <w:pStyle w:val="Nivel2"/>
        <w:numPr>
          <w:ilvl w:val="2"/>
          <w:numId w:val="1"/>
        </w:numPr>
        <w:autoSpaceDE w:val="0"/>
        <w:snapToGrid w:val="0"/>
        <w:spacing w:beforeLines="120" w:before="288" w:afterLines="120" w:after="288" w:line="312" w:lineRule="auto"/>
        <w:ind w:left="1701" w:hanging="708"/>
        <w:rPr>
          <w:color w:val="auto"/>
        </w:rPr>
      </w:pPr>
      <w:r w:rsidRPr="00E909E6">
        <w:rPr>
          <w:color w:val="auto"/>
        </w:rPr>
        <w:t>Se, mesmo após a aplicação dos procedimentos previstos nos itens acima, ainda persistir o empate, será realizado sorteio entre os licitantes para fins de desempate:</w:t>
      </w:r>
    </w:p>
    <w:p w14:paraId="64C0C4A5" w14:textId="2A34B53A" w:rsidR="00E909E6" w:rsidRPr="005F2508" w:rsidRDefault="006D7A93" w:rsidP="00E909E6">
      <w:pPr>
        <w:pStyle w:val="Nivel4"/>
        <w:spacing w:beforeLines="120" w:before="288" w:afterLines="120" w:after="288" w:line="312" w:lineRule="auto"/>
        <w:ind w:left="2835" w:hanging="1134"/>
      </w:pPr>
      <w:r>
        <w:t xml:space="preserve">O </w:t>
      </w:r>
      <w:r w:rsidR="0031699A" w:rsidRPr="00E909E6">
        <w:t>sorteio ser</w:t>
      </w:r>
      <w:r>
        <w:t>á efetuado</w:t>
      </w:r>
      <w:r w:rsidR="00E909E6" w:rsidRPr="00E909E6">
        <w:t xml:space="preserve"> de forma presencial</w:t>
      </w:r>
      <w:r w:rsidR="0031699A" w:rsidRPr="00E909E6">
        <w:t xml:space="preserve"> e </w:t>
      </w:r>
      <w:r w:rsidR="00E909E6">
        <w:t xml:space="preserve">o seu </w:t>
      </w:r>
      <w:r w:rsidR="00E909E6" w:rsidRPr="005F2508">
        <w:t xml:space="preserve">registro audiovisual </w:t>
      </w:r>
      <w:r w:rsidR="00E909E6">
        <w:t xml:space="preserve">será disponibilizado </w:t>
      </w:r>
      <w:r w:rsidR="00E909E6" w:rsidRPr="005F2508">
        <w:t>para visualização n</w:t>
      </w:r>
      <w:r w:rsidR="00E909E6">
        <w:t xml:space="preserve">o </w:t>
      </w:r>
      <w:r w:rsidR="00E909E6" w:rsidRPr="00DA4AE5">
        <w:rPr>
          <w:i/>
        </w:rPr>
        <w:t>site</w:t>
      </w:r>
      <w:r w:rsidR="00E909E6">
        <w:t xml:space="preserve"> do TRT da 24ª Região, no seguinte endereço eletrônico: </w:t>
      </w:r>
      <w:r w:rsidR="00E909E6" w:rsidRPr="00DA4AE5">
        <w:rPr>
          <w:i/>
        </w:rPr>
        <w:t>“https://www.trt24.jus.br/web/transparencia/pregao-eletronico”</w:t>
      </w:r>
      <w:r w:rsidR="00E909E6" w:rsidRPr="005F2508">
        <w:t>.</w:t>
      </w:r>
      <w:r w:rsidR="00E909E6">
        <w:t xml:space="preserve"> </w:t>
      </w:r>
    </w:p>
    <w:p w14:paraId="7D6C27FD" w14:textId="0D058139" w:rsidR="0031699A" w:rsidRPr="00E909E6" w:rsidRDefault="00E909E6" w:rsidP="0031699A">
      <w:pPr>
        <w:pStyle w:val="Nivel4"/>
        <w:spacing w:beforeLines="120" w:before="288" w:afterLines="120" w:after="288" w:line="312" w:lineRule="auto"/>
        <w:ind w:left="2835" w:hanging="1134"/>
      </w:pPr>
      <w:r>
        <w:t xml:space="preserve">A realização do sorteio irá </w:t>
      </w:r>
      <w:r w:rsidR="0031699A" w:rsidRPr="00E909E6">
        <w:t>observa</w:t>
      </w:r>
      <w:r>
        <w:t xml:space="preserve">r </w:t>
      </w:r>
      <w:r w:rsidR="0031699A" w:rsidRPr="00E909E6">
        <w:t>a seguinte sequência de procedimentos:</w:t>
      </w:r>
    </w:p>
    <w:p w14:paraId="74B765A9" w14:textId="77777777" w:rsidR="0031699A" w:rsidRDefault="0031699A" w:rsidP="00E909E6">
      <w:pPr>
        <w:pStyle w:val="Nivel4"/>
        <w:numPr>
          <w:ilvl w:val="0"/>
          <w:numId w:val="0"/>
        </w:numPr>
        <w:spacing w:beforeLines="120" w:before="288" w:afterLines="120" w:after="288" w:line="312" w:lineRule="auto"/>
        <w:ind w:left="2835"/>
      </w:pPr>
      <w:r w:rsidRPr="00E909E6">
        <w:t xml:space="preserve">I – </w:t>
      </w:r>
      <w:proofErr w:type="gramStart"/>
      <w:r w:rsidRPr="00E909E6">
        <w:t>os</w:t>
      </w:r>
      <w:proofErr w:type="gramEnd"/>
      <w:r w:rsidRPr="00E909E6">
        <w:t xml:space="preserve"> nomes das licitantes que se encontram em situação de empate serão consignados em papelotes </w:t>
      </w:r>
      <w:r w:rsidRPr="005F2508">
        <w:t>individuais, devidamente registrados em tipografia legível e de fácil visualização;</w:t>
      </w:r>
    </w:p>
    <w:p w14:paraId="0D6CCDD9" w14:textId="77777777" w:rsidR="0031699A" w:rsidRDefault="0031699A" w:rsidP="00E909E6">
      <w:pPr>
        <w:pStyle w:val="Nivel4"/>
        <w:numPr>
          <w:ilvl w:val="0"/>
          <w:numId w:val="0"/>
        </w:numPr>
        <w:spacing w:beforeLines="120" w:before="288" w:afterLines="120" w:after="288" w:line="312" w:lineRule="auto"/>
        <w:ind w:left="2835"/>
      </w:pPr>
      <w:r w:rsidRPr="005F2508">
        <w:t xml:space="preserve">II – </w:t>
      </w:r>
      <w:proofErr w:type="gramStart"/>
      <w:r w:rsidRPr="005F2508">
        <w:t>antes do</w:t>
      </w:r>
      <w:proofErr w:type="gramEnd"/>
      <w:r w:rsidRPr="005F2508">
        <w:t xml:space="preserve"> sorteio, deverão ser demonstrados a todos os participantes da sessão o conteúdo impresso dos papelotes individuais, de maneira a assegurar a transparência e a equidade do procedimento;</w:t>
      </w:r>
    </w:p>
    <w:p w14:paraId="00122718" w14:textId="77777777" w:rsidR="0031699A" w:rsidRDefault="0031699A" w:rsidP="00E909E6">
      <w:pPr>
        <w:pStyle w:val="Nivel4"/>
        <w:numPr>
          <w:ilvl w:val="0"/>
          <w:numId w:val="0"/>
        </w:numPr>
        <w:spacing w:beforeLines="120" w:before="288" w:afterLines="120" w:after="288" w:line="312" w:lineRule="auto"/>
        <w:ind w:left="2835"/>
      </w:pPr>
      <w:r w:rsidRPr="005F2508">
        <w:t>III. os papelotes individuais serão dobrados de modo a evitar a prévia e indevida identificação dos licitantes;</w:t>
      </w:r>
    </w:p>
    <w:p w14:paraId="67A17E5D" w14:textId="77777777" w:rsidR="0031699A" w:rsidRDefault="0031699A" w:rsidP="00E909E6">
      <w:pPr>
        <w:pStyle w:val="Nivel4"/>
        <w:numPr>
          <w:ilvl w:val="0"/>
          <w:numId w:val="0"/>
        </w:numPr>
        <w:spacing w:beforeLines="120" w:before="288" w:afterLines="120" w:after="288" w:line="312" w:lineRule="auto"/>
        <w:ind w:left="2835"/>
      </w:pPr>
      <w:r w:rsidRPr="005F2508">
        <w:lastRenderedPageBreak/>
        <w:t xml:space="preserve">IV – </w:t>
      </w:r>
      <w:proofErr w:type="gramStart"/>
      <w:r w:rsidRPr="005F2508">
        <w:t>os</w:t>
      </w:r>
      <w:proofErr w:type="gramEnd"/>
      <w:r w:rsidRPr="005F2508">
        <w:t xml:space="preserve"> papelotes serão introduzidos em um recipiente adequado para realização do sorteio, e em conformidade com as circunstâncias e as necessidades da sessão, poderá ser utilizada a mão humana ou outros recipientes que viabilizem a mistura dos papelotes individuais;</w:t>
      </w:r>
    </w:p>
    <w:p w14:paraId="0AC6796D" w14:textId="77777777" w:rsidR="0031699A" w:rsidRDefault="0031699A" w:rsidP="00E909E6">
      <w:pPr>
        <w:pStyle w:val="Nivel4"/>
        <w:numPr>
          <w:ilvl w:val="0"/>
          <w:numId w:val="0"/>
        </w:numPr>
        <w:spacing w:beforeLines="120" w:before="288" w:afterLines="120" w:after="288" w:line="312" w:lineRule="auto"/>
        <w:ind w:left="2835"/>
      </w:pPr>
      <w:r w:rsidRPr="005F2508">
        <w:t xml:space="preserve">V – </w:t>
      </w:r>
      <w:proofErr w:type="gramStart"/>
      <w:r w:rsidRPr="005F2508">
        <w:t>após</w:t>
      </w:r>
      <w:proofErr w:type="gramEnd"/>
      <w:r w:rsidRPr="005F2508">
        <w:t xml:space="preserve"> a devida mistura dos papelotes individuais, um servidor de apoio técnico procederá ao sorteio, e, imediatamente após a seleção, o resultado do vencedor será divulgado a todos os participantes da sessão;</w:t>
      </w:r>
    </w:p>
    <w:p w14:paraId="07C89454" w14:textId="77777777" w:rsidR="0031699A" w:rsidRDefault="0031699A" w:rsidP="00E909E6">
      <w:pPr>
        <w:pStyle w:val="Nivel4"/>
        <w:numPr>
          <w:ilvl w:val="0"/>
          <w:numId w:val="0"/>
        </w:numPr>
        <w:spacing w:beforeLines="120" w:before="288" w:afterLines="120" w:after="288" w:line="312" w:lineRule="auto"/>
        <w:ind w:left="2835"/>
      </w:pPr>
      <w:r w:rsidRPr="005F2508">
        <w:t xml:space="preserve">VI – </w:t>
      </w:r>
      <w:proofErr w:type="gramStart"/>
      <w:r w:rsidRPr="005F2508">
        <w:t>os</w:t>
      </w:r>
      <w:proofErr w:type="gramEnd"/>
      <w:r w:rsidRPr="005F2508">
        <w:t xml:space="preserve"> papelotes individuais restantes no recipiente destinado à realização do sorteio serão, em sequência, prontamente retirados, e durante esta etapa, os nomes dos licitantes não sorteados serão apresentados a todos os participantes da sessão, a fim de assegurar a lisura do sorteio;</w:t>
      </w:r>
    </w:p>
    <w:p w14:paraId="04052151" w14:textId="76DA63DD" w:rsidR="00E909E6" w:rsidRDefault="0031699A" w:rsidP="00E909E6">
      <w:pPr>
        <w:pStyle w:val="Nivel4"/>
        <w:numPr>
          <w:ilvl w:val="0"/>
          <w:numId w:val="0"/>
        </w:numPr>
        <w:spacing w:beforeLines="120" w:before="288" w:afterLines="120" w:after="288" w:line="312" w:lineRule="auto"/>
        <w:ind w:left="2835"/>
      </w:pPr>
      <w:r w:rsidRPr="005F2508">
        <w:t xml:space="preserve">VII. </w:t>
      </w:r>
      <w:r w:rsidR="006D7A93">
        <w:t>o sorteio será oficialmente encerrado</w:t>
      </w:r>
      <w:r w:rsidRPr="005F2508">
        <w:t xml:space="preserve"> após a conclusão desses procedimentos</w:t>
      </w:r>
      <w:r w:rsidR="006D7A93">
        <w:t xml:space="preserve"> e lavratura da ata</w:t>
      </w:r>
      <w:r w:rsidR="00E909E6">
        <w:t>.</w:t>
      </w:r>
    </w:p>
    <w:p w14:paraId="40D49C27" w14:textId="3514FCA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5B011FDD" w14:textId="1F8D16A1" w:rsidR="009D3FC3" w:rsidRDefault="009D3FC3" w:rsidP="00A94C9A">
      <w:pPr>
        <w:pStyle w:val="Nivel2"/>
        <w:numPr>
          <w:ilvl w:val="2"/>
          <w:numId w:val="1"/>
        </w:numPr>
        <w:autoSpaceDE w:val="0"/>
        <w:snapToGrid w:val="0"/>
        <w:spacing w:beforeLines="120" w:before="288" w:afterLines="120" w:after="288" w:line="312" w:lineRule="auto"/>
        <w:ind w:left="1701" w:hanging="708"/>
      </w:pPr>
      <w:r>
        <w:t>Tratando-se de licitação em grupo, a contratação posterior de item específico do grupo exigirá prévia pesquisa de mercado e demonstração de sua vantagem para o órgão e serão observados os preços unitários máximos como critério de aceitabilidade.</w:t>
      </w:r>
    </w:p>
    <w:p w14:paraId="377762CE" w14:textId="74D99A4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D21FE5">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1ED79958" w14:textId="39EF1920" w:rsidR="00E278F7" w:rsidRPr="00A231E1" w:rsidRDefault="00E278F7" w:rsidP="00E278F7">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5022767F" w14:textId="5CB8E7FD" w:rsidR="00E278F7" w:rsidRPr="00DD628D" w:rsidRDefault="00E278F7" w:rsidP="00E278F7">
      <w:pPr>
        <w:pStyle w:val="Nivel2"/>
        <w:spacing w:beforeLines="120" w:before="288" w:afterLines="120" w:after="288" w:line="312" w:lineRule="auto"/>
        <w:ind w:left="993" w:hanging="567"/>
      </w:pPr>
      <w:r w:rsidRPr="006E1990">
        <w:t xml:space="preserve">Verificadas as condições de participação e de utilização do tratamento favorecido, o </w:t>
      </w:r>
      <w:r>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26" w:anchor="art29" w:history="1">
        <w:r w:rsidRPr="00DD628D">
          <w:t>artigo 29 a 35 da IN SEGES nº 73</w:t>
        </w:r>
        <w:r>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3C713CDF" w:rsidR="006206CB" w:rsidRPr="006E1990" w:rsidRDefault="00BB0F87" w:rsidP="006206CB">
      <w:pPr>
        <w:pStyle w:val="Nivel2"/>
        <w:spacing w:beforeLines="120" w:before="288" w:afterLines="120" w:after="288" w:line="312" w:lineRule="auto"/>
        <w:ind w:left="993" w:hanging="567"/>
      </w:pPr>
      <w:r w:rsidRPr="0029556C">
        <w:rPr>
          <w:b/>
        </w:rPr>
        <w:t>OS DOCUMENTOS PREVISTOS NO</w:t>
      </w:r>
      <w:r>
        <w:rPr>
          <w:b/>
        </w:rPr>
        <w:t xml:space="preserve"> ITE</w:t>
      </w:r>
      <w:r w:rsidR="004B24BA">
        <w:rPr>
          <w:b/>
        </w:rPr>
        <w:t xml:space="preserve">M </w:t>
      </w:r>
      <w:r w:rsidRPr="0029556C">
        <w:rPr>
          <w:b/>
        </w:rPr>
        <w:t>4 DO TERMO DE REFERÊNCIA</w:t>
      </w:r>
      <w:r>
        <w:t xml:space="preserve"> </w:t>
      </w:r>
      <w:r w:rsidR="0029556C">
        <w:t>são</w:t>
      </w:r>
      <w:r w:rsidR="006206CB" w:rsidRPr="006E1990">
        <w:t xml:space="preserve"> necessários para demonstrar a capacidade do licitante de realizar o objeto da licitação</w:t>
      </w:r>
      <w:r w:rsidR="0029556C">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 de 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02087DE8" w14:textId="28FAC082" w:rsidR="00AD4A98" w:rsidRPr="00AD4A98" w:rsidRDefault="0029556C" w:rsidP="000B52CC">
      <w:pPr>
        <w:pStyle w:val="Nivel2"/>
        <w:numPr>
          <w:ilvl w:val="2"/>
          <w:numId w:val="1"/>
        </w:numPr>
        <w:autoSpaceDE w:val="0"/>
        <w:snapToGrid w:val="0"/>
        <w:spacing w:beforeLines="120" w:before="288" w:afterLines="120" w:after="288" w:line="312" w:lineRule="auto"/>
        <w:ind w:left="1701" w:hanging="708"/>
      </w:pPr>
      <w:r>
        <w:t xml:space="preserve">Não será permitida </w:t>
      </w:r>
      <w:r w:rsidR="00AD4A98" w:rsidRPr="00AD4A98">
        <w:t xml:space="preserve">a </w:t>
      </w:r>
      <w:r w:rsidR="00AD4A98" w:rsidRPr="006E1990">
        <w:t>participação de empresas estrangeiras que não funcionem no País</w:t>
      </w:r>
      <w:r w:rsidR="00054F0E">
        <w:t>.</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7"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8"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2D1036">
        <w:rPr>
          <w:b/>
        </w:rPr>
        <w:t xml:space="preserve">no prazo de </w:t>
      </w:r>
      <w:r w:rsidR="00851DB7" w:rsidRPr="002D1036">
        <w:rPr>
          <w:b/>
        </w:rPr>
        <w:t>02 (duas)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9" w:anchor="art64" w:history="1">
        <w:r w:rsidRPr="00851DB7">
          <w:t>Lei 14.133/21, art. 64</w:t>
        </w:r>
      </w:hyperlink>
      <w:r w:rsidRPr="006E1990">
        <w:t xml:space="preserve">, e </w:t>
      </w:r>
      <w:hyperlink r:id="rId30"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9D3FC3" w:rsidRDefault="003C7A23" w:rsidP="00883DEB">
      <w:pPr>
        <w:pStyle w:val="Nivel2"/>
        <w:spacing w:beforeLines="120" w:before="288" w:afterLines="120" w:after="288" w:line="312" w:lineRule="auto"/>
        <w:ind w:left="993" w:hanging="567"/>
        <w:rPr>
          <w:color w:val="auto"/>
        </w:rPr>
      </w:pPr>
      <w:r w:rsidRPr="006E1990">
        <w:t xml:space="preserve">A comprovação de regularidade fiscal e trabalhista das microempresas e das empresas de pequeno porte </w:t>
      </w:r>
      <w:r w:rsidRPr="009D3FC3">
        <w:rPr>
          <w:color w:val="auto"/>
        </w:rPr>
        <w:t>somente será exigida para efeito de contratação, e não como condição para participação na licitação (</w:t>
      </w:r>
      <w:hyperlink r:id="rId31" w:anchor="art4" w:history="1">
        <w:r w:rsidRPr="009D3FC3">
          <w:rPr>
            <w:color w:val="auto"/>
          </w:rPr>
          <w:t>art. 4º do Decreto nº 8.538/2015</w:t>
        </w:r>
      </w:hyperlink>
      <w:r w:rsidRPr="009D3FC3">
        <w:rPr>
          <w:color w:val="auto"/>
        </w:rPr>
        <w:t>).</w:t>
      </w:r>
    </w:p>
    <w:p w14:paraId="2765101D" w14:textId="77777777" w:rsidR="009D3FC3" w:rsidRPr="009D3FC3" w:rsidRDefault="009D3FC3" w:rsidP="009D3FC3">
      <w:pPr>
        <w:pStyle w:val="Nivel01"/>
        <w:spacing w:beforeLines="120" w:before="288" w:afterLines="120" w:after="288" w:line="312" w:lineRule="auto"/>
      </w:pPr>
      <w:bookmarkStart w:id="35" w:name="_Toc135469231"/>
      <w:bookmarkStart w:id="36" w:name="_Toc122606110"/>
      <w:r w:rsidRPr="009D3FC3">
        <w:t>DA ATA DE REGISTRO DE PREÇOS</w:t>
      </w:r>
      <w:bookmarkEnd w:id="35"/>
    </w:p>
    <w:p w14:paraId="6B27DD35" w14:textId="1C0682D0"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35E2EB1" w14:textId="77777777"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7F3220A0" w14:textId="64C69375"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411AA2B8" w14:textId="5223B9B2"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35E14BC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1F24F074"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67295FD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 PNCP e disponibilizado durante a vigência da ata de registro de preços.</w:t>
      </w:r>
    </w:p>
    <w:p w14:paraId="394EA2CF"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8C8A1AA"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lastRenderedPageBreak/>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3EEAEA7" w14:textId="77777777" w:rsidR="009D3FC3" w:rsidRPr="009D3FC3" w:rsidRDefault="009D3FC3" w:rsidP="009D3FC3">
      <w:pPr>
        <w:pStyle w:val="Nivel01"/>
        <w:spacing w:beforeLines="120" w:before="288" w:afterLines="120" w:after="288" w:line="312" w:lineRule="auto"/>
      </w:pPr>
      <w:bookmarkStart w:id="37" w:name="_Toc135469232"/>
      <w:r w:rsidRPr="009D3FC3">
        <w:t>DA FORMAÇÃO DO CADASTRO DE RESERVA</w:t>
      </w:r>
      <w:bookmarkEnd w:id="37"/>
      <w:r w:rsidRPr="009D3FC3">
        <w:t xml:space="preserve"> </w:t>
      </w:r>
    </w:p>
    <w:p w14:paraId="5070CAFA" w14:textId="77777777" w:rsidR="00CD00AF" w:rsidRPr="009A35FA" w:rsidRDefault="00CD00AF" w:rsidP="00CD00AF">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9A35FA">
        <w:t xml:space="preserve">chat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1227BD27" w14:textId="77777777" w:rsidR="00CD00AF" w:rsidRPr="00476A0E" w:rsidRDefault="00CD00AF" w:rsidP="00CD00AF">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32"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19903CF7" w14:textId="27ED1ACE" w:rsidR="00CD00AF" w:rsidRPr="005615E7" w:rsidRDefault="00CD00AF" w:rsidP="00CD00AF">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rsidR="00953113">
        <w:t>;</w:t>
      </w:r>
    </w:p>
    <w:p w14:paraId="4D7F8142"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F8E9D4A"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56AF29D6" w14:textId="2903C3C6"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18E4E989" w14:textId="799A6C70"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 xml:space="preserve">os licitantes </w:t>
      </w:r>
      <w:bookmarkStart w:id="38" w:name="_Hlk132991372"/>
      <w:r w:rsidR="009D3FC3" w:rsidRPr="0051184C">
        <w:rPr>
          <w:iCs/>
          <w:color w:val="auto"/>
        </w:rPr>
        <w:t xml:space="preserve">que </w:t>
      </w:r>
      <w:bookmarkStart w:id="39" w:name="_Hlk132989696"/>
      <w:r w:rsidR="009D3FC3" w:rsidRPr="0051184C">
        <w:rPr>
          <w:iCs/>
          <w:color w:val="auto"/>
        </w:rPr>
        <w:t>aceitarem cotar o objeto com preço igual ao do adjudicatári</w:t>
      </w:r>
      <w:bookmarkEnd w:id="38"/>
      <w:r w:rsidR="009D3FC3" w:rsidRPr="0051184C">
        <w:rPr>
          <w:iCs/>
          <w:color w:val="auto"/>
        </w:rPr>
        <w:t>o</w:t>
      </w:r>
      <w:bookmarkEnd w:id="39"/>
      <w:r w:rsidR="009D3FC3" w:rsidRPr="0051184C">
        <w:rPr>
          <w:iCs/>
          <w:color w:val="auto"/>
        </w:rPr>
        <w:t xml:space="preserve">, observada a classificação na licitação; e </w:t>
      </w:r>
    </w:p>
    <w:p w14:paraId="20DFEABD" w14:textId="7C54F4FD"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os licitantes que mantiverem sua proposta original</w:t>
      </w:r>
      <w:r>
        <w:rPr>
          <w:iCs/>
          <w:color w:val="auto"/>
        </w:rPr>
        <w:t>.</w:t>
      </w:r>
    </w:p>
    <w:p w14:paraId="493D1074" w14:textId="5A331E80" w:rsidR="009D3FC3" w:rsidRPr="009D3FC3" w:rsidRDefault="009D3FC3" w:rsidP="0051184C">
      <w:pPr>
        <w:pStyle w:val="Nivel2"/>
        <w:spacing w:beforeLines="120" w:before="288" w:afterLines="120" w:after="288" w:line="312" w:lineRule="auto"/>
        <w:ind w:left="993" w:hanging="567"/>
        <w:rPr>
          <w:rFonts w:eastAsia="MS Mincho"/>
          <w:i/>
          <w:iCs/>
          <w:color w:val="auto"/>
        </w:rPr>
      </w:pPr>
      <w:r w:rsidRPr="009D3FC3">
        <w:rPr>
          <w:color w:val="auto"/>
        </w:rPr>
        <w:t>Será respeitada, nas contratações, a ordem de classificação dos licitantes ou fornecedores registrados na ata.</w:t>
      </w:r>
    </w:p>
    <w:p w14:paraId="46AD0A08"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7766B137"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39A982CB" w14:textId="799264B3"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370B6A4E" w14:textId="75F2E0A1"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color w:val="auto"/>
        </w:rPr>
        <w:lastRenderedPageBreak/>
        <w:t>Q</w:t>
      </w:r>
      <w:r w:rsidR="009D3FC3" w:rsidRPr="0051184C">
        <w:rPr>
          <w:iCs/>
          <w:color w:val="auto"/>
        </w:rPr>
        <w:t>uando o licitante vencedor não assinar a ata de registro de preços no prazo e nas condições estabelecidos no edital; ou</w:t>
      </w:r>
    </w:p>
    <w:p w14:paraId="4BFA13E4" w14:textId="0E1FC852"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009D3FC3" w:rsidRPr="0051184C">
        <w:rPr>
          <w:iCs/>
          <w:color w:val="auto"/>
        </w:rPr>
        <w:t>uando houver o cancelamento do registro do fornecedor ou do registro de preços, nas hipóteses previstas nos art. 28 e art. 29 do Decreto nº 11.462/</w:t>
      </w:r>
      <w:r>
        <w:rPr>
          <w:iCs/>
          <w:color w:val="auto"/>
        </w:rPr>
        <w:t>20</w:t>
      </w:r>
      <w:r w:rsidR="009D3FC3" w:rsidRPr="0051184C">
        <w:rPr>
          <w:iCs/>
          <w:color w:val="auto"/>
        </w:rPr>
        <w:t>23.</w:t>
      </w:r>
    </w:p>
    <w:p w14:paraId="6D0CEFF1" w14:textId="77777777" w:rsidR="009D3FC3" w:rsidRPr="009D3FC3" w:rsidRDefault="009D3FC3" w:rsidP="005A5EAA">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5DE55E" w14:textId="42D1E6CB"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009D3FC3" w:rsidRPr="009D3FC3">
        <w:rPr>
          <w:color w:val="auto"/>
        </w:rPr>
        <w:t>onvocar os licitantes que mantiveram sua proposta original para negociação, na ordem de classificação, com vistas à obtenção de preço melhor, mesmo que acima do preço do adjudicatário; ou</w:t>
      </w:r>
    </w:p>
    <w:p w14:paraId="41350185" w14:textId="6BB65D31"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009D3FC3"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9D3FC3" w:rsidRDefault="003C7A23" w:rsidP="00883DEB">
      <w:pPr>
        <w:pStyle w:val="Nivel01"/>
        <w:tabs>
          <w:tab w:val="clear" w:pos="567"/>
        </w:tabs>
        <w:spacing w:beforeLines="120" w:before="288" w:afterLines="120" w:after="288" w:line="312" w:lineRule="auto"/>
        <w:ind w:left="426" w:hanging="426"/>
      </w:pPr>
      <w:r w:rsidRPr="009D3FC3">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3"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40" w:name="_Hlk135318381"/>
      <w:bookmarkStart w:id="41" w:name="_Hlk135315794"/>
      <w:proofErr w:type="gramStart"/>
      <w:r w:rsidRPr="008B7403">
        <w:t>o</w:t>
      </w:r>
      <w:proofErr w:type="gramEnd"/>
      <w:r w:rsidRPr="008B7403">
        <w:t xml:space="preserve"> prazo para a manifestação da intenção de recorrer não será inferior a 10 (dez) minutos</w:t>
      </w:r>
      <w:bookmarkEnd w:id="40"/>
      <w:r>
        <w:t>;</w:t>
      </w:r>
    </w:p>
    <w:bookmarkEnd w:id="41"/>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2" w:name="_Toc122606111"/>
      <w:r w:rsidRPr="006E1990">
        <w:t>DAS INFRAÇÕES ADMINISTRATIVAS E SANÇÕES</w:t>
      </w:r>
      <w:bookmarkEnd w:id="42"/>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085"/>
      <w:bookmarkStart w:id="44"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3"/>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5" w:name="_Ref114668108"/>
      <w:r w:rsidRPr="006E1990">
        <w:t>Salvo em decorrência de fato superveniente devidamente justificado, não mantiver a proposta em especial quando:</w:t>
      </w:r>
      <w:bookmarkEnd w:id="45"/>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139"/>
      <w:r>
        <w:t>N</w:t>
      </w:r>
      <w:r w:rsidR="003C7A23" w:rsidRPr="006E1990">
        <w:t>ão celebrar o contrato ou não entregar a documentação exigida para a contratação, quando convocado dentro do prazo de validade de sua proposta;</w:t>
      </w:r>
      <w:bookmarkEnd w:id="46"/>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9"/>
      <w:r>
        <w:t>A</w:t>
      </w:r>
      <w:r w:rsidR="003C7A23" w:rsidRPr="006E1990">
        <w:t>presentar declaração ou documentação falsa exigida para o certame ou prestar declaração falsa durante a licitação</w:t>
      </w:r>
      <w:bookmarkEnd w:id="47"/>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5"/>
      <w:r>
        <w:t>F</w:t>
      </w:r>
      <w:r w:rsidR="003C7A23" w:rsidRPr="006E1990">
        <w:t>raudar a licitação</w:t>
      </w:r>
      <w:bookmarkEnd w:id="48"/>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7"/>
      <w:r>
        <w:t>C</w:t>
      </w:r>
      <w:r w:rsidR="003C7A23" w:rsidRPr="006E1990">
        <w:t>omportar-se de modo inidôneo ou cometer fraude de qualquer natureza, em especial quando:</w:t>
      </w:r>
      <w:bookmarkEnd w:id="49"/>
    </w:p>
    <w:p w14:paraId="7219FCA0" w14:textId="6FAB61A1" w:rsidR="003C7A23" w:rsidRPr="006E1990" w:rsidRDefault="009A1D4B" w:rsidP="009C5FE4">
      <w:pPr>
        <w:pStyle w:val="Nivel4"/>
        <w:spacing w:beforeLines="120" w:before="288" w:afterLines="120" w:after="288" w:line="312" w:lineRule="auto"/>
        <w:ind w:left="2835" w:hanging="1134"/>
      </w:pPr>
      <w:r>
        <w:lastRenderedPageBreak/>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1"/>
      <w:r>
        <w:t>P</w:t>
      </w:r>
      <w:r w:rsidR="003C7A23" w:rsidRPr="006E1990">
        <w:t>raticar atos ilícitos com vistas a frustrar os objetivos da licitação</w:t>
      </w:r>
      <w:bookmarkEnd w:id="50"/>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2"/>
      <w:r>
        <w:t>P</w:t>
      </w:r>
      <w:r w:rsidR="003C7A23" w:rsidRPr="006E1990">
        <w:t xml:space="preserve">raticar ato lesivo previsto no </w:t>
      </w:r>
      <w:hyperlink r:id="rId34" w:anchor="art5" w:history="1">
        <w:r w:rsidR="009C5FE4">
          <w:t>art. 5º da Lei n.º 12.846/</w:t>
        </w:r>
        <w:r w:rsidR="003C7A23" w:rsidRPr="009C5FE4">
          <w:t>2013</w:t>
        </w:r>
      </w:hyperlink>
      <w:r w:rsidR="003C7A23" w:rsidRPr="006E1990">
        <w:t>.</w:t>
      </w:r>
      <w:bookmarkEnd w:id="51"/>
    </w:p>
    <w:bookmarkEnd w:id="44"/>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lastRenderedPageBreak/>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5" w:anchor="art156§5" w:history="1">
        <w:r w:rsidR="00C0357F">
          <w:t>art. 156, §5º, da Lei n</w:t>
        </w:r>
        <w:r w:rsidRPr="0010762E">
          <w:t>º 14.133/2021</w:t>
        </w:r>
      </w:hyperlink>
      <w:r w:rsidRPr="006E1990">
        <w:t>.</w:t>
      </w:r>
    </w:p>
    <w:p w14:paraId="7A500125" w14:textId="035B3E12"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0B52CC">
        <w:t>TRT da 24ª Região</w:t>
      </w:r>
      <w:r w:rsidRPr="006E1990">
        <w:t xml:space="preserve">, nos termos do </w:t>
      </w:r>
      <w:hyperlink r:id="rId36"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2" w:name="_Toc122606112"/>
      <w:r w:rsidRPr="006E1990">
        <w:t xml:space="preserve">DA IMPUGNAÇÃO AO </w:t>
      </w:r>
      <w:r w:rsidR="00797DE6">
        <w:t>EDITAL</w:t>
      </w:r>
      <w:r w:rsidRPr="006E1990">
        <w:t xml:space="preserve"> E DO PEDIDO DE ESCLARECIMENTO</w:t>
      </w:r>
      <w:bookmarkEnd w:id="52"/>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7"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lastRenderedPageBreak/>
        <w:t>As impugnações e pedidos de esclarecimentos não suspendem os prazos previstos no certame.</w:t>
      </w:r>
    </w:p>
    <w:p w14:paraId="19BB7923" w14:textId="2A054116"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w:t>
      </w:r>
      <w:r w:rsidR="005B053E">
        <w:t xml:space="preserve"> 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3" w:name="_Toc122606113"/>
      <w:r w:rsidRPr="006E1990">
        <w:t>DAS DISPOSIÇÕES GERAIS</w:t>
      </w:r>
      <w:bookmarkEnd w:id="53"/>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DA5FB6D" w:rsidR="003C7A23" w:rsidRPr="00E62C25"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43AB7C7C" w14:textId="784FF769" w:rsidR="00E62C25" w:rsidRPr="005A1599" w:rsidRDefault="005A1599" w:rsidP="00D4756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8"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4F630968" w14:textId="77777777" w:rsidR="00681B14" w:rsidRPr="00E55BA2" w:rsidRDefault="00681B14" w:rsidP="00681B14">
      <w:pPr>
        <w:pStyle w:val="Nivel2"/>
        <w:spacing w:beforeLines="120" w:before="288" w:afterLines="120" w:after="288" w:line="312" w:lineRule="auto"/>
        <w:ind w:left="1134" w:hanging="708"/>
      </w:pPr>
      <w:r w:rsidRPr="00E55BA2">
        <w:lastRenderedPageBreak/>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21B8D51D" w14:textId="77777777" w:rsidR="00D46314" w:rsidRPr="00E55BA2" w:rsidRDefault="00D46314" w:rsidP="00D46314">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4AD470AF" w14:textId="1426C87D" w:rsidR="00D46314" w:rsidRPr="00E55BA2" w:rsidRDefault="00D46314" w:rsidP="00D46314">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9" w:history="1">
        <w:r w:rsidRPr="00E2113B">
          <w:rPr>
            <w:rStyle w:val="Hyperlink"/>
          </w:rPr>
          <w:t>licitacao@trt24.jus.br</w:t>
        </w:r>
      </w:hyperlink>
      <w:r>
        <w:t xml:space="preserve">. </w:t>
      </w:r>
    </w:p>
    <w:p w14:paraId="6044177A" w14:textId="77777777" w:rsidR="001666C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1666C2">
        <w:t>s seguintes anexos:</w:t>
      </w:r>
    </w:p>
    <w:p w14:paraId="3F5E57F7" w14:textId="2EADD872" w:rsidR="00516103" w:rsidRDefault="00571635" w:rsidP="001666C2">
      <w:pPr>
        <w:pStyle w:val="Nivel2"/>
        <w:numPr>
          <w:ilvl w:val="2"/>
          <w:numId w:val="1"/>
        </w:numPr>
        <w:autoSpaceDE w:val="0"/>
        <w:snapToGrid w:val="0"/>
        <w:spacing w:beforeLines="120" w:before="288" w:afterLines="120" w:after="288" w:line="312" w:lineRule="auto"/>
        <w:ind w:left="1701" w:hanging="567"/>
      </w:pPr>
      <w:r>
        <w:t>Termo de Referência</w:t>
      </w:r>
      <w:r w:rsidR="001666C2">
        <w:t>;</w:t>
      </w:r>
    </w:p>
    <w:p w14:paraId="5E5549BB" w14:textId="488F83E4" w:rsidR="001666C2" w:rsidRDefault="001666C2" w:rsidP="001666C2">
      <w:pPr>
        <w:pStyle w:val="Nivel2"/>
        <w:numPr>
          <w:ilvl w:val="2"/>
          <w:numId w:val="1"/>
        </w:numPr>
        <w:autoSpaceDE w:val="0"/>
        <w:snapToGrid w:val="0"/>
        <w:spacing w:beforeLines="120" w:before="288" w:afterLines="120" w:after="288" w:line="312" w:lineRule="auto"/>
        <w:ind w:left="1701" w:hanging="567"/>
      </w:pPr>
      <w:r>
        <w:t>Minuta de Ata de Registro de Preços.</w:t>
      </w:r>
    </w:p>
    <w:p w14:paraId="27BF3C44" w14:textId="53CFC50B" w:rsidR="003635CF" w:rsidRDefault="003635CF" w:rsidP="00157B8A">
      <w:pPr>
        <w:pStyle w:val="Nivel2"/>
        <w:numPr>
          <w:ilvl w:val="0"/>
          <w:numId w:val="0"/>
        </w:numPr>
        <w:spacing w:beforeLines="120" w:before="288" w:afterLines="120" w:after="288" w:line="312" w:lineRule="auto"/>
        <w:ind w:left="360"/>
        <w:jc w:val="center"/>
      </w:pPr>
      <w:bookmarkStart w:id="54" w:name="_GoBack"/>
      <w:bookmarkEnd w:id="54"/>
      <w:r w:rsidRPr="00516103">
        <w:t>Campo Grande – MS,</w:t>
      </w:r>
      <w:r w:rsidR="00650F5A">
        <w:t xml:space="preserve"> </w:t>
      </w:r>
      <w:r w:rsidR="009871BD">
        <w:t>17</w:t>
      </w:r>
      <w:r w:rsidR="00AE6A8C">
        <w:t xml:space="preserve"> de </w:t>
      </w:r>
      <w:r w:rsidR="009871BD">
        <w:t xml:space="preserve">julho </w:t>
      </w:r>
      <w:r w:rsidRPr="00516103">
        <w:t>de 202</w:t>
      </w:r>
      <w:r w:rsidR="00C53757">
        <w:t>4</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40"/>
      <w:footerReference w:type="default" r:id="rId41"/>
      <w:headerReference w:type="first" r:id="rId42"/>
      <w:footerReference w:type="first" r:id="rId43"/>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3443" w14:textId="77777777" w:rsidR="008550D5" w:rsidRDefault="008550D5">
      <w:r>
        <w:separator/>
      </w:r>
    </w:p>
  </w:endnote>
  <w:endnote w:type="continuationSeparator" w:id="0">
    <w:p w14:paraId="691C32C2" w14:textId="77777777" w:rsidR="008550D5" w:rsidRDefault="008550D5">
      <w:r>
        <w:continuationSeparator/>
      </w:r>
    </w:p>
  </w:endnote>
  <w:endnote w:type="continuationNotice" w:id="1">
    <w:p w14:paraId="5B403260" w14:textId="77777777" w:rsidR="008550D5" w:rsidRDefault="00855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7F8568F"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DD7090">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DD7090">
          <w:rPr>
            <w:noProof/>
            <w:sz w:val="18"/>
            <w:szCs w:val="18"/>
          </w:rPr>
          <w:t>21</w:t>
        </w:r>
        <w:r w:rsidRPr="00E12671">
          <w:rPr>
            <w:sz w:val="18"/>
            <w:szCs w:val="18"/>
          </w:rPr>
          <w:fldChar w:fldCharType="end"/>
        </w:r>
      </w:p>
      <w:p w14:paraId="239342FA" w14:textId="1DAA0501" w:rsidR="00FC0D1F" w:rsidRPr="00244403" w:rsidRDefault="008550D5"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C157" w14:textId="5B866D9F" w:rsidR="00981AB3" w:rsidRPr="00E12671" w:rsidRDefault="00981AB3" w:rsidP="00981AB3">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6727E2">
      <w:rPr>
        <w:noProof/>
        <w:sz w:val="18"/>
        <w:szCs w:val="18"/>
      </w:rPr>
      <w:t>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6727E2">
      <w:rPr>
        <w:noProof/>
        <w:sz w:val="18"/>
        <w:szCs w:val="18"/>
      </w:rPr>
      <w:t>21</w:t>
    </w:r>
    <w:r w:rsidRPr="00E12671">
      <w:rPr>
        <w:sz w:val="18"/>
        <w:szCs w:val="18"/>
      </w:rPr>
      <w:fldChar w:fldCharType="end"/>
    </w:r>
  </w:p>
  <w:p w14:paraId="796D12A5" w14:textId="77777777" w:rsidR="00981AB3" w:rsidRDefault="00981AB3">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2A535" w14:textId="77777777" w:rsidR="008550D5" w:rsidRDefault="008550D5">
      <w:r>
        <w:separator/>
      </w:r>
    </w:p>
  </w:footnote>
  <w:footnote w:type="continuationSeparator" w:id="0">
    <w:p w14:paraId="3F8113AD" w14:textId="77777777" w:rsidR="008550D5" w:rsidRDefault="008550D5">
      <w:r>
        <w:continuationSeparator/>
      </w:r>
    </w:p>
  </w:footnote>
  <w:footnote w:type="continuationNotice" w:id="1">
    <w:p w14:paraId="0C763C55" w14:textId="77777777" w:rsidR="008550D5" w:rsidRDefault="008550D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3560CD1"/>
    <w:multiLevelType w:val="multilevel"/>
    <w:tmpl w:val="570E32EA"/>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2"/>
  </w:num>
  <w:num w:numId="4">
    <w:abstractNumId w:val="13"/>
  </w:num>
  <w:num w:numId="5">
    <w:abstractNumId w:val="8"/>
  </w:num>
  <w:num w:numId="6">
    <w:abstractNumId w:val="4"/>
  </w:num>
  <w:num w:numId="7">
    <w:abstractNumId w:val="10"/>
  </w:num>
  <w:num w:numId="8">
    <w:abstractNumId w:val="11"/>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9"/>
  </w:num>
  <w:num w:numId="19">
    <w:abstractNumId w:val="2"/>
  </w:num>
  <w:num w:numId="20">
    <w:abstractNumId w:val="2"/>
  </w:num>
  <w:num w:numId="21">
    <w:abstractNumId w:val="2"/>
  </w:num>
  <w:num w:numId="2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1F53"/>
    <w:rsid w:val="00052048"/>
    <w:rsid w:val="000526DD"/>
    <w:rsid w:val="00052F23"/>
    <w:rsid w:val="00053303"/>
    <w:rsid w:val="00053E65"/>
    <w:rsid w:val="00054F0E"/>
    <w:rsid w:val="00055034"/>
    <w:rsid w:val="00055889"/>
    <w:rsid w:val="00055C19"/>
    <w:rsid w:val="00055F99"/>
    <w:rsid w:val="00056433"/>
    <w:rsid w:val="000564D1"/>
    <w:rsid w:val="00056CAA"/>
    <w:rsid w:val="00060256"/>
    <w:rsid w:val="00060414"/>
    <w:rsid w:val="000608DC"/>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D63"/>
    <w:rsid w:val="000850DC"/>
    <w:rsid w:val="00085A12"/>
    <w:rsid w:val="00086BB6"/>
    <w:rsid w:val="00086D55"/>
    <w:rsid w:val="000872C8"/>
    <w:rsid w:val="000879FB"/>
    <w:rsid w:val="00087EF2"/>
    <w:rsid w:val="000902AA"/>
    <w:rsid w:val="00090425"/>
    <w:rsid w:val="00090534"/>
    <w:rsid w:val="00090BA7"/>
    <w:rsid w:val="00090D08"/>
    <w:rsid w:val="00090F5D"/>
    <w:rsid w:val="0009112A"/>
    <w:rsid w:val="00091828"/>
    <w:rsid w:val="00091897"/>
    <w:rsid w:val="00091CE5"/>
    <w:rsid w:val="000921E1"/>
    <w:rsid w:val="000923CA"/>
    <w:rsid w:val="00092759"/>
    <w:rsid w:val="00092CA5"/>
    <w:rsid w:val="000935AA"/>
    <w:rsid w:val="00093827"/>
    <w:rsid w:val="00093B86"/>
    <w:rsid w:val="00094191"/>
    <w:rsid w:val="00094321"/>
    <w:rsid w:val="00094790"/>
    <w:rsid w:val="00094A8E"/>
    <w:rsid w:val="00094D55"/>
    <w:rsid w:val="00094E4B"/>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2CC"/>
    <w:rsid w:val="000B56AB"/>
    <w:rsid w:val="000B5E57"/>
    <w:rsid w:val="000B63EB"/>
    <w:rsid w:val="000B663C"/>
    <w:rsid w:val="000B7B55"/>
    <w:rsid w:val="000C052F"/>
    <w:rsid w:val="000C05F5"/>
    <w:rsid w:val="000C08E9"/>
    <w:rsid w:val="000C0A7A"/>
    <w:rsid w:val="000C123B"/>
    <w:rsid w:val="000C19BD"/>
    <w:rsid w:val="000C1A8D"/>
    <w:rsid w:val="000C20BD"/>
    <w:rsid w:val="000C21AD"/>
    <w:rsid w:val="000C2C16"/>
    <w:rsid w:val="000C2DD1"/>
    <w:rsid w:val="000C2E00"/>
    <w:rsid w:val="000C32BF"/>
    <w:rsid w:val="000C380A"/>
    <w:rsid w:val="000C3E5F"/>
    <w:rsid w:val="000C40ED"/>
    <w:rsid w:val="000C41CD"/>
    <w:rsid w:val="000C4324"/>
    <w:rsid w:val="000C4759"/>
    <w:rsid w:val="000C4E94"/>
    <w:rsid w:val="000C5D14"/>
    <w:rsid w:val="000C6446"/>
    <w:rsid w:val="000C66EE"/>
    <w:rsid w:val="000C670A"/>
    <w:rsid w:val="000C6998"/>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63D8"/>
    <w:rsid w:val="000E739A"/>
    <w:rsid w:val="000E7D66"/>
    <w:rsid w:val="000E7EB8"/>
    <w:rsid w:val="000E7F73"/>
    <w:rsid w:val="000F03F6"/>
    <w:rsid w:val="000F0884"/>
    <w:rsid w:val="000F0A2E"/>
    <w:rsid w:val="000F104D"/>
    <w:rsid w:val="000F113C"/>
    <w:rsid w:val="000F1290"/>
    <w:rsid w:val="000F1778"/>
    <w:rsid w:val="000F1C1C"/>
    <w:rsid w:val="000F1CCF"/>
    <w:rsid w:val="000F2B66"/>
    <w:rsid w:val="000F2D6D"/>
    <w:rsid w:val="000F3397"/>
    <w:rsid w:val="000F397B"/>
    <w:rsid w:val="000F3C28"/>
    <w:rsid w:val="000F4088"/>
    <w:rsid w:val="000F4F96"/>
    <w:rsid w:val="000F5788"/>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511"/>
    <w:rsid w:val="00105707"/>
    <w:rsid w:val="00105BB9"/>
    <w:rsid w:val="00105C7B"/>
    <w:rsid w:val="00106309"/>
    <w:rsid w:val="00106B39"/>
    <w:rsid w:val="0010762E"/>
    <w:rsid w:val="00110305"/>
    <w:rsid w:val="001103FF"/>
    <w:rsid w:val="00110443"/>
    <w:rsid w:val="00110909"/>
    <w:rsid w:val="001116F8"/>
    <w:rsid w:val="00111C8B"/>
    <w:rsid w:val="0011235B"/>
    <w:rsid w:val="001125E3"/>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5A"/>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352"/>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0C1"/>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130"/>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6C2"/>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BC1"/>
    <w:rsid w:val="001A7EEF"/>
    <w:rsid w:val="001A7F1F"/>
    <w:rsid w:val="001B005B"/>
    <w:rsid w:val="001B1079"/>
    <w:rsid w:val="001B1976"/>
    <w:rsid w:val="001B1F25"/>
    <w:rsid w:val="001B2538"/>
    <w:rsid w:val="001B2A3F"/>
    <w:rsid w:val="001B2FAE"/>
    <w:rsid w:val="001B3448"/>
    <w:rsid w:val="001B3548"/>
    <w:rsid w:val="001B3617"/>
    <w:rsid w:val="001B3DA3"/>
    <w:rsid w:val="001B4796"/>
    <w:rsid w:val="001B4A0C"/>
    <w:rsid w:val="001B53DE"/>
    <w:rsid w:val="001B6423"/>
    <w:rsid w:val="001B7184"/>
    <w:rsid w:val="001B795D"/>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267"/>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AA5"/>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9E0"/>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4BD"/>
    <w:rsid w:val="00230C82"/>
    <w:rsid w:val="0023180C"/>
    <w:rsid w:val="00231D35"/>
    <w:rsid w:val="00231E9C"/>
    <w:rsid w:val="002322DE"/>
    <w:rsid w:val="0023260A"/>
    <w:rsid w:val="00232E32"/>
    <w:rsid w:val="002333D7"/>
    <w:rsid w:val="002345B4"/>
    <w:rsid w:val="00235187"/>
    <w:rsid w:val="00236150"/>
    <w:rsid w:val="00236166"/>
    <w:rsid w:val="00236EF6"/>
    <w:rsid w:val="00237E29"/>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62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0AA"/>
    <w:rsid w:val="00286AD9"/>
    <w:rsid w:val="00286AF4"/>
    <w:rsid w:val="0028765E"/>
    <w:rsid w:val="0028769B"/>
    <w:rsid w:val="002877DF"/>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D84"/>
    <w:rsid w:val="00294F3F"/>
    <w:rsid w:val="002950EF"/>
    <w:rsid w:val="0029556C"/>
    <w:rsid w:val="00295776"/>
    <w:rsid w:val="00295EB3"/>
    <w:rsid w:val="002961D6"/>
    <w:rsid w:val="00296F0D"/>
    <w:rsid w:val="0029746A"/>
    <w:rsid w:val="002978AF"/>
    <w:rsid w:val="00297E77"/>
    <w:rsid w:val="002A046D"/>
    <w:rsid w:val="002A0D02"/>
    <w:rsid w:val="002A0D8D"/>
    <w:rsid w:val="002A1164"/>
    <w:rsid w:val="002A127F"/>
    <w:rsid w:val="002A17C6"/>
    <w:rsid w:val="002A18C1"/>
    <w:rsid w:val="002A19C7"/>
    <w:rsid w:val="002A1D8D"/>
    <w:rsid w:val="002A25E4"/>
    <w:rsid w:val="002A2822"/>
    <w:rsid w:val="002A3A9F"/>
    <w:rsid w:val="002A3D1E"/>
    <w:rsid w:val="002A4265"/>
    <w:rsid w:val="002A50DF"/>
    <w:rsid w:val="002A51E3"/>
    <w:rsid w:val="002A566E"/>
    <w:rsid w:val="002A5B83"/>
    <w:rsid w:val="002A611E"/>
    <w:rsid w:val="002A7034"/>
    <w:rsid w:val="002A7E55"/>
    <w:rsid w:val="002B0A65"/>
    <w:rsid w:val="002B0B48"/>
    <w:rsid w:val="002B0CB2"/>
    <w:rsid w:val="002B0CF8"/>
    <w:rsid w:val="002B0D3E"/>
    <w:rsid w:val="002B138E"/>
    <w:rsid w:val="002B1A68"/>
    <w:rsid w:val="002B1B47"/>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036"/>
    <w:rsid w:val="002D14AB"/>
    <w:rsid w:val="002D1B50"/>
    <w:rsid w:val="002D1B94"/>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80C"/>
    <w:rsid w:val="002E6DA0"/>
    <w:rsid w:val="002E7459"/>
    <w:rsid w:val="002E7544"/>
    <w:rsid w:val="002E7C0B"/>
    <w:rsid w:val="002E7F19"/>
    <w:rsid w:val="002F084D"/>
    <w:rsid w:val="002F0A9A"/>
    <w:rsid w:val="002F0D0C"/>
    <w:rsid w:val="002F1925"/>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9B"/>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3FB8"/>
    <w:rsid w:val="003141E8"/>
    <w:rsid w:val="00314264"/>
    <w:rsid w:val="00314319"/>
    <w:rsid w:val="00314CA9"/>
    <w:rsid w:val="003156BC"/>
    <w:rsid w:val="00315A92"/>
    <w:rsid w:val="00315CA8"/>
    <w:rsid w:val="0031699A"/>
    <w:rsid w:val="00316D00"/>
    <w:rsid w:val="0031715D"/>
    <w:rsid w:val="00320345"/>
    <w:rsid w:val="00321590"/>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17"/>
    <w:rsid w:val="00351C99"/>
    <w:rsid w:val="00352541"/>
    <w:rsid w:val="003545B4"/>
    <w:rsid w:val="00354B78"/>
    <w:rsid w:val="00355EDF"/>
    <w:rsid w:val="0035658A"/>
    <w:rsid w:val="00356DA9"/>
    <w:rsid w:val="00357ADD"/>
    <w:rsid w:val="00357DC7"/>
    <w:rsid w:val="00357F9A"/>
    <w:rsid w:val="00360444"/>
    <w:rsid w:val="00360501"/>
    <w:rsid w:val="0036051A"/>
    <w:rsid w:val="003605F6"/>
    <w:rsid w:val="003606BD"/>
    <w:rsid w:val="00361551"/>
    <w:rsid w:val="003618E3"/>
    <w:rsid w:val="00361BD7"/>
    <w:rsid w:val="00361D6F"/>
    <w:rsid w:val="00362356"/>
    <w:rsid w:val="0036254B"/>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712"/>
    <w:rsid w:val="00386912"/>
    <w:rsid w:val="00386AAC"/>
    <w:rsid w:val="00386ADE"/>
    <w:rsid w:val="00386C8D"/>
    <w:rsid w:val="00390D0A"/>
    <w:rsid w:val="00390F03"/>
    <w:rsid w:val="003911FA"/>
    <w:rsid w:val="00391AB2"/>
    <w:rsid w:val="00391E14"/>
    <w:rsid w:val="00392462"/>
    <w:rsid w:val="0039330A"/>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28B"/>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104D"/>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69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4F7D"/>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0F1"/>
    <w:rsid w:val="00421408"/>
    <w:rsid w:val="0042190C"/>
    <w:rsid w:val="00421AFE"/>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0B"/>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0F2"/>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736"/>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4BA"/>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72B"/>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BF0"/>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15"/>
    <w:rsid w:val="004F5DF9"/>
    <w:rsid w:val="004F6042"/>
    <w:rsid w:val="004F65CC"/>
    <w:rsid w:val="004F66B4"/>
    <w:rsid w:val="004F6C38"/>
    <w:rsid w:val="004F70C6"/>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0F68"/>
    <w:rsid w:val="0051184C"/>
    <w:rsid w:val="0051253C"/>
    <w:rsid w:val="005128F7"/>
    <w:rsid w:val="00512D53"/>
    <w:rsid w:val="005132A8"/>
    <w:rsid w:val="00513768"/>
    <w:rsid w:val="00513C6E"/>
    <w:rsid w:val="00514276"/>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AA5"/>
    <w:rsid w:val="00534B33"/>
    <w:rsid w:val="005356C1"/>
    <w:rsid w:val="00535A68"/>
    <w:rsid w:val="00536923"/>
    <w:rsid w:val="00536B3A"/>
    <w:rsid w:val="00537A7D"/>
    <w:rsid w:val="0054016D"/>
    <w:rsid w:val="005402E7"/>
    <w:rsid w:val="005403AB"/>
    <w:rsid w:val="0054077F"/>
    <w:rsid w:val="00540A4E"/>
    <w:rsid w:val="00540D0C"/>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6D7"/>
    <w:rsid w:val="00577B8D"/>
    <w:rsid w:val="005800D8"/>
    <w:rsid w:val="00580C15"/>
    <w:rsid w:val="00581347"/>
    <w:rsid w:val="00581492"/>
    <w:rsid w:val="00581688"/>
    <w:rsid w:val="005817F5"/>
    <w:rsid w:val="00581981"/>
    <w:rsid w:val="005819EE"/>
    <w:rsid w:val="00581D87"/>
    <w:rsid w:val="00581EA5"/>
    <w:rsid w:val="0058251E"/>
    <w:rsid w:val="0058255D"/>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599"/>
    <w:rsid w:val="005A1DF1"/>
    <w:rsid w:val="005A29E3"/>
    <w:rsid w:val="005A3B20"/>
    <w:rsid w:val="005A3F8A"/>
    <w:rsid w:val="005A43C8"/>
    <w:rsid w:val="005A445B"/>
    <w:rsid w:val="005A4A17"/>
    <w:rsid w:val="005A507E"/>
    <w:rsid w:val="005A510C"/>
    <w:rsid w:val="005A511F"/>
    <w:rsid w:val="005A5A4F"/>
    <w:rsid w:val="005A5C12"/>
    <w:rsid w:val="005A5EAA"/>
    <w:rsid w:val="005A640F"/>
    <w:rsid w:val="005A6547"/>
    <w:rsid w:val="005A65CD"/>
    <w:rsid w:val="005A6A91"/>
    <w:rsid w:val="005A750C"/>
    <w:rsid w:val="005A7699"/>
    <w:rsid w:val="005A7D3A"/>
    <w:rsid w:val="005B0066"/>
    <w:rsid w:val="005B018E"/>
    <w:rsid w:val="005B046F"/>
    <w:rsid w:val="005B053E"/>
    <w:rsid w:val="005B07CB"/>
    <w:rsid w:val="005B09C8"/>
    <w:rsid w:val="005B1254"/>
    <w:rsid w:val="005B12EE"/>
    <w:rsid w:val="005B1C59"/>
    <w:rsid w:val="005B20BB"/>
    <w:rsid w:val="005B3094"/>
    <w:rsid w:val="005B359A"/>
    <w:rsid w:val="005B41F1"/>
    <w:rsid w:val="005B48F0"/>
    <w:rsid w:val="005B49FD"/>
    <w:rsid w:val="005B4D36"/>
    <w:rsid w:val="005B511B"/>
    <w:rsid w:val="005B5788"/>
    <w:rsid w:val="005B58F0"/>
    <w:rsid w:val="005B5955"/>
    <w:rsid w:val="005B5B5F"/>
    <w:rsid w:val="005B5D6A"/>
    <w:rsid w:val="005B654A"/>
    <w:rsid w:val="005B6A2C"/>
    <w:rsid w:val="005B6D5A"/>
    <w:rsid w:val="005B785F"/>
    <w:rsid w:val="005B7C12"/>
    <w:rsid w:val="005C0A2B"/>
    <w:rsid w:val="005C1511"/>
    <w:rsid w:val="005C1659"/>
    <w:rsid w:val="005C1710"/>
    <w:rsid w:val="005C25B5"/>
    <w:rsid w:val="005C3069"/>
    <w:rsid w:val="005C34ED"/>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14B"/>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297"/>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961"/>
    <w:rsid w:val="00647B47"/>
    <w:rsid w:val="00647C0B"/>
    <w:rsid w:val="00647CA5"/>
    <w:rsid w:val="0065019F"/>
    <w:rsid w:val="006501D0"/>
    <w:rsid w:val="00650242"/>
    <w:rsid w:val="00650F5A"/>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5F48"/>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7E2"/>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B14"/>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1F3"/>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A70"/>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0F"/>
    <w:rsid w:val="006B26E3"/>
    <w:rsid w:val="006B3257"/>
    <w:rsid w:val="006B3A27"/>
    <w:rsid w:val="006B4CA3"/>
    <w:rsid w:val="006B51B2"/>
    <w:rsid w:val="006B5633"/>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D7A93"/>
    <w:rsid w:val="006E09F2"/>
    <w:rsid w:val="006E1476"/>
    <w:rsid w:val="006E1990"/>
    <w:rsid w:val="006E1B4C"/>
    <w:rsid w:val="006E1DB8"/>
    <w:rsid w:val="006E1E3F"/>
    <w:rsid w:val="006E29ED"/>
    <w:rsid w:val="006E2D9C"/>
    <w:rsid w:val="006E4C6B"/>
    <w:rsid w:val="006E4DA7"/>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31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088"/>
    <w:rsid w:val="00720342"/>
    <w:rsid w:val="00720EA6"/>
    <w:rsid w:val="0072120B"/>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73"/>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56C3"/>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442"/>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BA4"/>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3ECB"/>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3DC"/>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186"/>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D7ED7"/>
    <w:rsid w:val="007E01AF"/>
    <w:rsid w:val="007E02CE"/>
    <w:rsid w:val="007E103C"/>
    <w:rsid w:val="007E1221"/>
    <w:rsid w:val="007E24B8"/>
    <w:rsid w:val="007E2A27"/>
    <w:rsid w:val="007E300C"/>
    <w:rsid w:val="007E3083"/>
    <w:rsid w:val="007E3133"/>
    <w:rsid w:val="007E313C"/>
    <w:rsid w:val="007E3995"/>
    <w:rsid w:val="007E39F0"/>
    <w:rsid w:val="007E3F65"/>
    <w:rsid w:val="007E4AD7"/>
    <w:rsid w:val="007E50D9"/>
    <w:rsid w:val="007E5253"/>
    <w:rsid w:val="007E5648"/>
    <w:rsid w:val="007E57A5"/>
    <w:rsid w:val="007E5B0E"/>
    <w:rsid w:val="007E5CB8"/>
    <w:rsid w:val="007E5DDA"/>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4B5"/>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55C"/>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0D5"/>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15C"/>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4F63"/>
    <w:rsid w:val="008B50DF"/>
    <w:rsid w:val="008B5B23"/>
    <w:rsid w:val="008B5B36"/>
    <w:rsid w:val="008B5D4D"/>
    <w:rsid w:val="008B60D9"/>
    <w:rsid w:val="008B6162"/>
    <w:rsid w:val="008B65D2"/>
    <w:rsid w:val="008B6785"/>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B8D"/>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1A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5E"/>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685F"/>
    <w:rsid w:val="00917862"/>
    <w:rsid w:val="009206C0"/>
    <w:rsid w:val="0092112B"/>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C3A"/>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442"/>
    <w:rsid w:val="00946C48"/>
    <w:rsid w:val="00946D64"/>
    <w:rsid w:val="00946D8B"/>
    <w:rsid w:val="00946DD8"/>
    <w:rsid w:val="00946EFF"/>
    <w:rsid w:val="00946F6E"/>
    <w:rsid w:val="009474C2"/>
    <w:rsid w:val="0094777A"/>
    <w:rsid w:val="00947A98"/>
    <w:rsid w:val="0095083A"/>
    <w:rsid w:val="00950D81"/>
    <w:rsid w:val="00951BD9"/>
    <w:rsid w:val="009528A2"/>
    <w:rsid w:val="00952A05"/>
    <w:rsid w:val="00953113"/>
    <w:rsid w:val="009532BA"/>
    <w:rsid w:val="00953831"/>
    <w:rsid w:val="00953F58"/>
    <w:rsid w:val="009543EB"/>
    <w:rsid w:val="00954978"/>
    <w:rsid w:val="00954B1B"/>
    <w:rsid w:val="00954D31"/>
    <w:rsid w:val="00956E21"/>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B10"/>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1AB3"/>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871BD"/>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2DE"/>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C53"/>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2A3C"/>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3FC3"/>
    <w:rsid w:val="009D443F"/>
    <w:rsid w:val="009D511A"/>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5F26"/>
    <w:rsid w:val="009E644A"/>
    <w:rsid w:val="009E6E9A"/>
    <w:rsid w:val="009E7C14"/>
    <w:rsid w:val="009F0803"/>
    <w:rsid w:val="009F094B"/>
    <w:rsid w:val="009F0A01"/>
    <w:rsid w:val="009F1331"/>
    <w:rsid w:val="009F14DF"/>
    <w:rsid w:val="009F16B2"/>
    <w:rsid w:val="009F1B50"/>
    <w:rsid w:val="009F1EFE"/>
    <w:rsid w:val="009F1F1A"/>
    <w:rsid w:val="009F2D3D"/>
    <w:rsid w:val="009F33BC"/>
    <w:rsid w:val="009F3B2B"/>
    <w:rsid w:val="009F3CA2"/>
    <w:rsid w:val="009F3EA2"/>
    <w:rsid w:val="009F419C"/>
    <w:rsid w:val="009F43E0"/>
    <w:rsid w:val="009F486D"/>
    <w:rsid w:val="009F49B2"/>
    <w:rsid w:val="009F52C1"/>
    <w:rsid w:val="009F52CE"/>
    <w:rsid w:val="009F582F"/>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3E8C"/>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90"/>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0EC"/>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346"/>
    <w:rsid w:val="00A575B4"/>
    <w:rsid w:val="00A5796A"/>
    <w:rsid w:val="00A57D42"/>
    <w:rsid w:val="00A57DDC"/>
    <w:rsid w:val="00A60300"/>
    <w:rsid w:val="00A60395"/>
    <w:rsid w:val="00A60929"/>
    <w:rsid w:val="00A60D91"/>
    <w:rsid w:val="00A61063"/>
    <w:rsid w:val="00A61836"/>
    <w:rsid w:val="00A61B26"/>
    <w:rsid w:val="00A61D1D"/>
    <w:rsid w:val="00A61D8E"/>
    <w:rsid w:val="00A61EE9"/>
    <w:rsid w:val="00A622F0"/>
    <w:rsid w:val="00A6287E"/>
    <w:rsid w:val="00A63507"/>
    <w:rsid w:val="00A63733"/>
    <w:rsid w:val="00A63EFE"/>
    <w:rsid w:val="00A64A3F"/>
    <w:rsid w:val="00A64DC9"/>
    <w:rsid w:val="00A65280"/>
    <w:rsid w:val="00A65624"/>
    <w:rsid w:val="00A656EC"/>
    <w:rsid w:val="00A658A4"/>
    <w:rsid w:val="00A658A7"/>
    <w:rsid w:val="00A65A83"/>
    <w:rsid w:val="00A6710A"/>
    <w:rsid w:val="00A67354"/>
    <w:rsid w:val="00A675BB"/>
    <w:rsid w:val="00A70DF7"/>
    <w:rsid w:val="00A711F0"/>
    <w:rsid w:val="00A712D0"/>
    <w:rsid w:val="00A71593"/>
    <w:rsid w:val="00A71EFB"/>
    <w:rsid w:val="00A72644"/>
    <w:rsid w:val="00A72B79"/>
    <w:rsid w:val="00A73268"/>
    <w:rsid w:val="00A73BD7"/>
    <w:rsid w:val="00A742C7"/>
    <w:rsid w:val="00A743AB"/>
    <w:rsid w:val="00A7453E"/>
    <w:rsid w:val="00A74EA2"/>
    <w:rsid w:val="00A753C0"/>
    <w:rsid w:val="00A75510"/>
    <w:rsid w:val="00A761E5"/>
    <w:rsid w:val="00A76D45"/>
    <w:rsid w:val="00A76E5C"/>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115"/>
    <w:rsid w:val="00AB4639"/>
    <w:rsid w:val="00AB48EC"/>
    <w:rsid w:val="00AB53E4"/>
    <w:rsid w:val="00AB5467"/>
    <w:rsid w:val="00AB5488"/>
    <w:rsid w:val="00AB6007"/>
    <w:rsid w:val="00AB6EAC"/>
    <w:rsid w:val="00AC00D2"/>
    <w:rsid w:val="00AC0699"/>
    <w:rsid w:val="00AC07ED"/>
    <w:rsid w:val="00AC191A"/>
    <w:rsid w:val="00AC1A7D"/>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6A8C"/>
    <w:rsid w:val="00AE71E0"/>
    <w:rsid w:val="00AE749F"/>
    <w:rsid w:val="00AE7B7C"/>
    <w:rsid w:val="00AE7DED"/>
    <w:rsid w:val="00AF10FA"/>
    <w:rsid w:val="00AF148E"/>
    <w:rsid w:val="00AF2255"/>
    <w:rsid w:val="00AF2918"/>
    <w:rsid w:val="00AF313A"/>
    <w:rsid w:val="00AF3A98"/>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BFC"/>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3E1"/>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D87"/>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CE2"/>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7C"/>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87A51"/>
    <w:rsid w:val="00B902B9"/>
    <w:rsid w:val="00B9049B"/>
    <w:rsid w:val="00B90708"/>
    <w:rsid w:val="00B90A68"/>
    <w:rsid w:val="00B90D26"/>
    <w:rsid w:val="00B910E0"/>
    <w:rsid w:val="00B91319"/>
    <w:rsid w:val="00B91E6E"/>
    <w:rsid w:val="00B91E9F"/>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5B0"/>
    <w:rsid w:val="00BA1705"/>
    <w:rsid w:val="00BA2132"/>
    <w:rsid w:val="00BA22D3"/>
    <w:rsid w:val="00BA2524"/>
    <w:rsid w:val="00BA3049"/>
    <w:rsid w:val="00BA3224"/>
    <w:rsid w:val="00BA4274"/>
    <w:rsid w:val="00BA4295"/>
    <w:rsid w:val="00BA456F"/>
    <w:rsid w:val="00BA493D"/>
    <w:rsid w:val="00BA4D69"/>
    <w:rsid w:val="00BA5352"/>
    <w:rsid w:val="00BA5B58"/>
    <w:rsid w:val="00BA5BAE"/>
    <w:rsid w:val="00BA659C"/>
    <w:rsid w:val="00BA728C"/>
    <w:rsid w:val="00BA73D4"/>
    <w:rsid w:val="00BA74F1"/>
    <w:rsid w:val="00BA78DC"/>
    <w:rsid w:val="00BA7C4B"/>
    <w:rsid w:val="00BB0200"/>
    <w:rsid w:val="00BB0275"/>
    <w:rsid w:val="00BB0338"/>
    <w:rsid w:val="00BB0479"/>
    <w:rsid w:val="00BB0AB1"/>
    <w:rsid w:val="00BB0AD4"/>
    <w:rsid w:val="00BB0F87"/>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F53"/>
    <w:rsid w:val="00BC615D"/>
    <w:rsid w:val="00BC6BE0"/>
    <w:rsid w:val="00BC6CD8"/>
    <w:rsid w:val="00BC6EAE"/>
    <w:rsid w:val="00BC6F50"/>
    <w:rsid w:val="00BC73E9"/>
    <w:rsid w:val="00BC76B1"/>
    <w:rsid w:val="00BD1366"/>
    <w:rsid w:val="00BD1656"/>
    <w:rsid w:val="00BD1827"/>
    <w:rsid w:val="00BD18CC"/>
    <w:rsid w:val="00BD1AC1"/>
    <w:rsid w:val="00BD1D46"/>
    <w:rsid w:val="00BD26DE"/>
    <w:rsid w:val="00BD29F5"/>
    <w:rsid w:val="00BD3242"/>
    <w:rsid w:val="00BD3419"/>
    <w:rsid w:val="00BD37FB"/>
    <w:rsid w:val="00BD39EC"/>
    <w:rsid w:val="00BD42CA"/>
    <w:rsid w:val="00BD43E5"/>
    <w:rsid w:val="00BD44E6"/>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3B9"/>
    <w:rsid w:val="00BF2E36"/>
    <w:rsid w:val="00BF34F8"/>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4CC"/>
    <w:rsid w:val="00C0357F"/>
    <w:rsid w:val="00C03F48"/>
    <w:rsid w:val="00C03F51"/>
    <w:rsid w:val="00C0422A"/>
    <w:rsid w:val="00C0501B"/>
    <w:rsid w:val="00C05C5B"/>
    <w:rsid w:val="00C05DDE"/>
    <w:rsid w:val="00C0648F"/>
    <w:rsid w:val="00C06812"/>
    <w:rsid w:val="00C0688B"/>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5C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181"/>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757"/>
    <w:rsid w:val="00C5397B"/>
    <w:rsid w:val="00C53E6D"/>
    <w:rsid w:val="00C53E92"/>
    <w:rsid w:val="00C54A67"/>
    <w:rsid w:val="00C54CD6"/>
    <w:rsid w:val="00C55CCA"/>
    <w:rsid w:val="00C55E36"/>
    <w:rsid w:val="00C55E5C"/>
    <w:rsid w:val="00C55EA7"/>
    <w:rsid w:val="00C60425"/>
    <w:rsid w:val="00C60557"/>
    <w:rsid w:val="00C60AFD"/>
    <w:rsid w:val="00C60C2D"/>
    <w:rsid w:val="00C60E79"/>
    <w:rsid w:val="00C6162E"/>
    <w:rsid w:val="00C6190E"/>
    <w:rsid w:val="00C61BF3"/>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908"/>
    <w:rsid w:val="00C72ABC"/>
    <w:rsid w:val="00C72B5A"/>
    <w:rsid w:val="00C73861"/>
    <w:rsid w:val="00C7432C"/>
    <w:rsid w:val="00C74D22"/>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0F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B39"/>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0AF"/>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050"/>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5CF"/>
    <w:rsid w:val="00CF0DEC"/>
    <w:rsid w:val="00CF10DB"/>
    <w:rsid w:val="00CF126F"/>
    <w:rsid w:val="00CF1EA6"/>
    <w:rsid w:val="00CF2572"/>
    <w:rsid w:val="00CF25A1"/>
    <w:rsid w:val="00CF2BA1"/>
    <w:rsid w:val="00CF2E49"/>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6D9B"/>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4CDA"/>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3CE5"/>
    <w:rsid w:val="00D14643"/>
    <w:rsid w:val="00D15F61"/>
    <w:rsid w:val="00D16FA0"/>
    <w:rsid w:val="00D17378"/>
    <w:rsid w:val="00D2017F"/>
    <w:rsid w:val="00D206F5"/>
    <w:rsid w:val="00D21449"/>
    <w:rsid w:val="00D216B2"/>
    <w:rsid w:val="00D21FE5"/>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14"/>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C85"/>
    <w:rsid w:val="00D55E12"/>
    <w:rsid w:val="00D5657D"/>
    <w:rsid w:val="00D5704D"/>
    <w:rsid w:val="00D5748E"/>
    <w:rsid w:val="00D577BB"/>
    <w:rsid w:val="00D579B5"/>
    <w:rsid w:val="00D57A88"/>
    <w:rsid w:val="00D60B39"/>
    <w:rsid w:val="00D610C4"/>
    <w:rsid w:val="00D612A9"/>
    <w:rsid w:val="00D61309"/>
    <w:rsid w:val="00D61ABF"/>
    <w:rsid w:val="00D61CE2"/>
    <w:rsid w:val="00D61E63"/>
    <w:rsid w:val="00D6201F"/>
    <w:rsid w:val="00D6262B"/>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636C"/>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4AE5"/>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09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450"/>
    <w:rsid w:val="00DF171E"/>
    <w:rsid w:val="00DF1CDA"/>
    <w:rsid w:val="00DF2420"/>
    <w:rsid w:val="00DF280B"/>
    <w:rsid w:val="00DF28B7"/>
    <w:rsid w:val="00DF2EAD"/>
    <w:rsid w:val="00DF3079"/>
    <w:rsid w:val="00DF3345"/>
    <w:rsid w:val="00DF3576"/>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361"/>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663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4D71"/>
    <w:rsid w:val="00E15202"/>
    <w:rsid w:val="00E152DF"/>
    <w:rsid w:val="00E15505"/>
    <w:rsid w:val="00E15611"/>
    <w:rsid w:val="00E162B5"/>
    <w:rsid w:val="00E17141"/>
    <w:rsid w:val="00E17D3D"/>
    <w:rsid w:val="00E20A03"/>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594"/>
    <w:rsid w:val="00E26AC1"/>
    <w:rsid w:val="00E2720A"/>
    <w:rsid w:val="00E278F7"/>
    <w:rsid w:val="00E27AAE"/>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48"/>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2C25"/>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30E6"/>
    <w:rsid w:val="00E742F4"/>
    <w:rsid w:val="00E74B6D"/>
    <w:rsid w:val="00E74BE2"/>
    <w:rsid w:val="00E75976"/>
    <w:rsid w:val="00E75C2C"/>
    <w:rsid w:val="00E75E5C"/>
    <w:rsid w:val="00E760FF"/>
    <w:rsid w:val="00E76384"/>
    <w:rsid w:val="00E76A5E"/>
    <w:rsid w:val="00E77205"/>
    <w:rsid w:val="00E775E3"/>
    <w:rsid w:val="00E77A45"/>
    <w:rsid w:val="00E801E4"/>
    <w:rsid w:val="00E80693"/>
    <w:rsid w:val="00E80854"/>
    <w:rsid w:val="00E812F5"/>
    <w:rsid w:val="00E8154B"/>
    <w:rsid w:val="00E828D7"/>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9E6"/>
    <w:rsid w:val="00E90A9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97F5E"/>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3B"/>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11"/>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14A1"/>
    <w:rsid w:val="00ED2B2B"/>
    <w:rsid w:val="00ED2C3F"/>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355"/>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4D57"/>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1E7"/>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22"/>
    <w:rsid w:val="00F84101"/>
    <w:rsid w:val="00F8520A"/>
    <w:rsid w:val="00F857AD"/>
    <w:rsid w:val="00F858B9"/>
    <w:rsid w:val="00F8600C"/>
    <w:rsid w:val="00F863C1"/>
    <w:rsid w:val="00F865E8"/>
    <w:rsid w:val="00F86631"/>
    <w:rsid w:val="00F869B7"/>
    <w:rsid w:val="00F86E68"/>
    <w:rsid w:val="00F86EF5"/>
    <w:rsid w:val="00F875C4"/>
    <w:rsid w:val="00F876E5"/>
    <w:rsid w:val="00F878A6"/>
    <w:rsid w:val="00F9005C"/>
    <w:rsid w:val="00F904AE"/>
    <w:rsid w:val="00F90826"/>
    <w:rsid w:val="00F9117A"/>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3C7"/>
    <w:rsid w:val="00F9769D"/>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F62"/>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yperlink" Target="mailto:licitacao@trt24.jus.br" TargetMode="Externa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compras.gov/compras"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mailto:licitacao@trt24.jus.br"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5-2018/2015/decreto/d8538.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D8A8BA8E-7343-4CCF-8F13-6D534894E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7746</Words>
  <Characters>41831</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49479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2024-05-23T19:04:00Z</dcterms:created>
  <dcterms:modified xsi:type="dcterms:W3CDTF">2024-07-17T19:49:00Z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