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670D0350"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E453CC">
              <w:rPr>
                <w:rStyle w:val="nfase"/>
                <w:rFonts w:ascii="Arial" w:hAnsi="Arial" w:cs="Arial"/>
                <w:b/>
                <w:i w:val="0"/>
                <w:sz w:val="28"/>
                <w:szCs w:val="28"/>
              </w:rPr>
              <w:t>90027/2024</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85FC048" w14:textId="549B629C" w:rsidR="00A910F3" w:rsidRPr="00744031" w:rsidRDefault="00744031" w:rsidP="00744031">
            <w:pPr>
              <w:tabs>
                <w:tab w:val="left" w:pos="1735"/>
              </w:tabs>
              <w:autoSpaceDE w:val="0"/>
              <w:autoSpaceDN w:val="0"/>
              <w:adjustRightInd w:val="0"/>
              <w:ind w:left="318"/>
              <w:jc w:val="center"/>
              <w:rPr>
                <w:rFonts w:ascii="Arial" w:hAnsi="Arial" w:cs="Arial"/>
                <w:b/>
                <w:sz w:val="28"/>
                <w:szCs w:val="28"/>
              </w:rPr>
            </w:pPr>
            <w:r w:rsidRPr="00744031">
              <w:rPr>
                <w:rFonts w:ascii="Arial" w:hAnsi="Arial" w:cs="Arial"/>
                <w:b/>
                <w:sz w:val="28"/>
                <w:szCs w:val="28"/>
              </w:rPr>
              <w:t>AQUISIÇÃO DE MOBILIÁRIO E DE EQUIPAMENTOS DIVERSOS.</w:t>
            </w:r>
          </w:p>
          <w:p w14:paraId="0C60765B" w14:textId="77777777" w:rsidR="00A910F3" w:rsidRPr="009B2A3C" w:rsidRDefault="00A910F3" w:rsidP="00DB6355">
            <w:pPr>
              <w:tabs>
                <w:tab w:val="left" w:pos="1735"/>
              </w:tabs>
              <w:autoSpaceDE w:val="0"/>
              <w:autoSpaceDN w:val="0"/>
              <w:adjustRightInd w:val="0"/>
              <w:ind w:left="318"/>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017D2F6E" w:rsidR="00A910F3" w:rsidRDefault="00E4435E" w:rsidP="00DB6355">
            <w:pPr>
              <w:rPr>
                <w:rStyle w:val="nfase"/>
                <w:rFonts w:ascii="Arial" w:hAnsi="Arial" w:cs="Arial"/>
                <w:i w:val="0"/>
              </w:rPr>
            </w:pPr>
            <w:r>
              <w:rPr>
                <w:rStyle w:val="nfase"/>
                <w:rFonts w:ascii="Arial" w:hAnsi="Arial" w:cs="Arial"/>
                <w:i w:val="0"/>
              </w:rPr>
              <w:t>26</w:t>
            </w:r>
            <w:r w:rsidR="00BD446E">
              <w:rPr>
                <w:rStyle w:val="nfase"/>
                <w:rFonts w:ascii="Arial" w:hAnsi="Arial" w:cs="Arial"/>
                <w:i w:val="0"/>
              </w:rPr>
              <w:t>-</w:t>
            </w:r>
            <w:r>
              <w:rPr>
                <w:rStyle w:val="nfase"/>
                <w:rFonts w:ascii="Arial" w:hAnsi="Arial" w:cs="Arial"/>
                <w:i w:val="0"/>
              </w:rPr>
              <w:t>11</w:t>
            </w:r>
            <w:r w:rsidR="00BD446E">
              <w:rPr>
                <w:rStyle w:val="nfase"/>
                <w:rFonts w:ascii="Arial" w:hAnsi="Arial" w:cs="Arial"/>
                <w:i w:val="0"/>
              </w:rPr>
              <w:t>-2024</w:t>
            </w:r>
            <w:r w:rsidR="00A910F3">
              <w:rPr>
                <w:rStyle w:val="nfase"/>
                <w:rFonts w:ascii="Arial" w:hAnsi="Arial" w:cs="Arial"/>
                <w:i w:val="0"/>
              </w:rPr>
              <w:t xml:space="preserve"> (</w:t>
            </w:r>
            <w:r>
              <w:rPr>
                <w:rStyle w:val="nfase"/>
                <w:rFonts w:ascii="Arial" w:hAnsi="Arial" w:cs="Arial"/>
                <w:i w:val="0"/>
              </w:rPr>
              <w:t>terça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Sim</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25A0CC2B" w:rsidR="00A910F3" w:rsidRPr="00D46314" w:rsidRDefault="00744031" w:rsidP="00DB6355">
            <w:pPr>
              <w:rPr>
                <w:rStyle w:val="nfase"/>
                <w:rFonts w:ascii="Arial" w:hAnsi="Arial" w:cs="Arial"/>
                <w:i w:val="0"/>
                <w:sz w:val="20"/>
                <w:szCs w:val="20"/>
              </w:rPr>
            </w:pPr>
            <w:r>
              <w:rPr>
                <w:rStyle w:val="nfase"/>
                <w:rFonts w:ascii="Arial" w:hAnsi="Arial" w:cs="Arial"/>
                <w:i w:val="0"/>
                <w:sz w:val="20"/>
                <w:szCs w:val="20"/>
              </w:rPr>
              <w:t>3.728/2024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Por Item 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0C347025" w:rsidR="00A910F3" w:rsidRPr="00051F53" w:rsidRDefault="00A564E9" w:rsidP="00DB6355">
            <w:pPr>
              <w:rPr>
                <w:rStyle w:val="nfase"/>
                <w:rFonts w:ascii="Arial" w:hAnsi="Arial" w:cs="Arial"/>
                <w:i w:val="0"/>
                <w:sz w:val="20"/>
                <w:szCs w:val="20"/>
              </w:rPr>
            </w:pPr>
            <w:r>
              <w:rPr>
                <w:rStyle w:val="nfase"/>
                <w:rFonts w:ascii="Arial" w:hAnsi="Arial" w:cs="Arial"/>
                <w:i w:val="0"/>
                <w:sz w:val="20"/>
                <w:szCs w:val="20"/>
              </w:rPr>
              <w:t>Facultativa</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4A12CA62"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7A4C65">
              <w:rPr>
                <w:rStyle w:val="nfase"/>
                <w:rFonts w:ascii="Arial" w:hAnsi="Arial" w:cs="Arial"/>
                <w:i w:val="0"/>
                <w:sz w:val="20"/>
                <w:szCs w:val="20"/>
              </w:rPr>
              <w:t>46.769,71</w:t>
            </w:r>
            <w:bookmarkStart w:id="0" w:name="_GoBack"/>
            <w:bookmarkEnd w:id="0"/>
            <w:r w:rsidRPr="00051F53">
              <w:rPr>
                <w:rStyle w:val="nfase"/>
                <w:rFonts w:ascii="Arial" w:hAnsi="Arial" w:cs="Arial"/>
                <w:i w:val="0"/>
                <w:sz w:val="20"/>
                <w:szCs w:val="20"/>
              </w:rPr>
              <w:t>.</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43DC1992"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A564E9">
              <w:rPr>
                <w:rStyle w:val="nfase"/>
                <w:rFonts w:ascii="Arial" w:hAnsi="Arial" w:cs="Arial"/>
                <w:i w:val="0"/>
                <w:sz w:val="20"/>
                <w:szCs w:val="20"/>
              </w:rPr>
              <w:t>10</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787869">
        <w:trPr>
          <w:trHeight w:val="908"/>
        </w:trPr>
        <w:tc>
          <w:tcPr>
            <w:tcW w:w="10194" w:type="dxa"/>
            <w:gridSpan w:val="4"/>
          </w:tcPr>
          <w:p w14:paraId="2C179E6D" w14:textId="77777777" w:rsidR="00A910F3" w:rsidRPr="00051F53" w:rsidRDefault="00A910F3" w:rsidP="00DB6355">
            <w:pPr>
              <w:jc w:val="center"/>
              <w:rPr>
                <w:rStyle w:val="nfase"/>
                <w:rFonts w:ascii="Arial" w:hAnsi="Arial" w:cs="Arial"/>
                <w:b/>
                <w:i w:val="0"/>
                <w:sz w:val="12"/>
                <w:szCs w:val="12"/>
              </w:rPr>
            </w:pPr>
          </w:p>
          <w:p w14:paraId="0BBE657A" w14:textId="77777777" w:rsidR="00787869" w:rsidRDefault="00787869" w:rsidP="00DB6355">
            <w:pPr>
              <w:jc w:val="center"/>
              <w:rPr>
                <w:rStyle w:val="nfase"/>
                <w:rFonts w:ascii="Arial" w:hAnsi="Arial" w:cs="Arial"/>
                <w:b/>
                <w:i w:val="0"/>
              </w:rPr>
            </w:pPr>
          </w:p>
          <w:p w14:paraId="212598A9" w14:textId="5DD962E6" w:rsidR="00A910F3" w:rsidRDefault="00A910F3" w:rsidP="00DB6355">
            <w:pPr>
              <w:jc w:val="center"/>
              <w:rPr>
                <w:rStyle w:val="nfase"/>
                <w:rFonts w:ascii="Arial" w:hAnsi="Arial" w:cs="Arial"/>
                <w:i w:val="0"/>
              </w:rPr>
            </w:pPr>
            <w:r w:rsidRPr="0059484F">
              <w:rPr>
                <w:rStyle w:val="nfase"/>
                <w:rFonts w:ascii="Arial" w:hAnsi="Arial" w:cs="Arial"/>
                <w:b/>
                <w:i w:val="0"/>
              </w:rPr>
              <w:t xml:space="preserve">Documentos de habilitação: </w:t>
            </w:r>
            <w:r w:rsidR="00AA2C69" w:rsidRPr="00AA2C69">
              <w:rPr>
                <w:rStyle w:val="nfase"/>
                <w:rFonts w:ascii="Arial" w:hAnsi="Arial" w:cs="Arial"/>
                <w:b/>
                <w:i w:val="0"/>
              </w:rPr>
              <w:t>VER ITEM 4 DO TERMO DE REFERÊNCIA</w:t>
            </w:r>
            <w:r w:rsidR="007B5F14">
              <w:rPr>
                <w:rStyle w:val="nfase"/>
                <w:rFonts w:ascii="Arial" w:hAnsi="Arial" w:cs="Arial"/>
                <w:b/>
                <w:i w:val="0"/>
              </w:rPr>
              <w:t xml:space="preserve"> (TR)</w:t>
            </w:r>
            <w:r w:rsidR="00AA2C69">
              <w:rPr>
                <w:rStyle w:val="nfase"/>
                <w:rFonts w:ascii="Arial" w:hAnsi="Arial" w:cs="Arial"/>
                <w:i w:val="0"/>
              </w:rPr>
              <w:t>.</w:t>
            </w:r>
          </w:p>
          <w:p w14:paraId="62D7AF97" w14:textId="77777777" w:rsidR="00787869" w:rsidRPr="0059484F" w:rsidRDefault="00787869" w:rsidP="00DB6355">
            <w:pPr>
              <w:jc w:val="center"/>
              <w:rPr>
                <w:rStyle w:val="nfase"/>
                <w:rFonts w:ascii="Arial" w:hAnsi="Arial" w:cs="Arial"/>
                <w:b/>
                <w:i w:val="0"/>
              </w:rPr>
            </w:pPr>
          </w:p>
          <w:p w14:paraId="3A5E55CD" w14:textId="77777777" w:rsidR="00A910F3" w:rsidRPr="00051F53" w:rsidRDefault="00A910F3" w:rsidP="00DB6355">
            <w:pPr>
              <w:jc w:val="center"/>
              <w:rPr>
                <w:rStyle w:val="nfase"/>
                <w:rFonts w:ascii="Arial" w:hAnsi="Arial" w:cs="Arial"/>
                <w:b/>
                <w:i w:val="0"/>
                <w:sz w:val="12"/>
                <w:szCs w:val="12"/>
              </w:rPr>
            </w:pPr>
          </w:p>
        </w:tc>
      </w:tr>
      <w:tr w:rsidR="007B5F14" w:rsidRPr="00051F53" w14:paraId="752ABD49" w14:textId="77777777" w:rsidTr="00787869">
        <w:trPr>
          <w:trHeight w:val="908"/>
        </w:trPr>
        <w:tc>
          <w:tcPr>
            <w:tcW w:w="10194" w:type="dxa"/>
            <w:gridSpan w:val="4"/>
          </w:tcPr>
          <w:p w14:paraId="6FC0D8F0" w14:textId="77777777" w:rsidR="007B5F14" w:rsidRPr="007B5F14" w:rsidRDefault="007B5F14" w:rsidP="00DB6355">
            <w:pPr>
              <w:jc w:val="center"/>
              <w:rPr>
                <w:rStyle w:val="nfase"/>
                <w:rFonts w:ascii="Arial" w:hAnsi="Arial" w:cs="Arial"/>
                <w:b/>
                <w:i w:val="0"/>
              </w:rPr>
            </w:pPr>
          </w:p>
          <w:p w14:paraId="0276422A" w14:textId="689AF248" w:rsidR="007B5F14" w:rsidRDefault="007B5F14" w:rsidP="007B5F14">
            <w:pPr>
              <w:jc w:val="center"/>
              <w:rPr>
                <w:rStyle w:val="nfase"/>
                <w:rFonts w:ascii="Arial" w:hAnsi="Arial" w:cs="Arial"/>
                <w:i w:val="0"/>
              </w:rPr>
            </w:pPr>
            <w:r>
              <w:rPr>
                <w:rStyle w:val="nfase"/>
                <w:rFonts w:ascii="Arial" w:hAnsi="Arial" w:cs="Arial"/>
                <w:b/>
                <w:i w:val="0"/>
              </w:rPr>
              <w:t>Critérios de Sustentabilidade</w:t>
            </w:r>
            <w:r w:rsidRPr="0059484F">
              <w:rPr>
                <w:rStyle w:val="nfase"/>
                <w:rFonts w:ascii="Arial" w:hAnsi="Arial" w:cs="Arial"/>
                <w:b/>
                <w:i w:val="0"/>
              </w:rPr>
              <w:t xml:space="preserve">: </w:t>
            </w:r>
            <w:r w:rsidRPr="00AA2C69">
              <w:rPr>
                <w:rStyle w:val="nfase"/>
                <w:rFonts w:ascii="Arial" w:hAnsi="Arial" w:cs="Arial"/>
                <w:b/>
                <w:i w:val="0"/>
              </w:rPr>
              <w:t xml:space="preserve">VER ITEM </w:t>
            </w:r>
            <w:r>
              <w:rPr>
                <w:rStyle w:val="nfase"/>
                <w:rFonts w:ascii="Arial" w:hAnsi="Arial" w:cs="Arial"/>
                <w:b/>
                <w:i w:val="0"/>
              </w:rPr>
              <w:t>8</w:t>
            </w:r>
            <w:r w:rsidRPr="00AA2C69">
              <w:rPr>
                <w:rStyle w:val="nfase"/>
                <w:rFonts w:ascii="Arial" w:hAnsi="Arial" w:cs="Arial"/>
                <w:b/>
                <w:i w:val="0"/>
              </w:rPr>
              <w:t xml:space="preserve"> DO TERMO DE REFERÊNCIA</w:t>
            </w:r>
            <w:r>
              <w:rPr>
                <w:rStyle w:val="nfase"/>
                <w:rFonts w:ascii="Arial" w:hAnsi="Arial" w:cs="Arial"/>
                <w:b/>
                <w:i w:val="0"/>
              </w:rPr>
              <w:t xml:space="preserve"> (TR)</w:t>
            </w:r>
            <w:r>
              <w:rPr>
                <w:rStyle w:val="nfase"/>
                <w:rFonts w:ascii="Arial" w:hAnsi="Arial" w:cs="Arial"/>
                <w:i w:val="0"/>
              </w:rPr>
              <w:t>.</w:t>
            </w:r>
          </w:p>
          <w:p w14:paraId="0C09F5E3" w14:textId="03B91E02" w:rsidR="007B5F14" w:rsidRPr="00051F53" w:rsidRDefault="007B5F14" w:rsidP="00DB6355">
            <w:pPr>
              <w:jc w:val="center"/>
              <w:rPr>
                <w:rStyle w:val="nfase"/>
                <w:rFonts w:ascii="Arial" w:hAnsi="Arial" w:cs="Arial"/>
                <w:b/>
                <w:i w:val="0"/>
                <w:sz w:val="12"/>
                <w:szCs w:val="1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56E6468B" w14:textId="4DF949E2" w:rsidR="00A910F3" w:rsidRDefault="00A910F3" w:rsidP="00FD7C82">
      <w:pPr>
        <w:jc w:val="center"/>
        <w:rPr>
          <w:rStyle w:val="nfase"/>
          <w:rFonts w:ascii="Arial" w:hAnsi="Arial" w:cs="Arial"/>
          <w:b/>
          <w:i w:val="0"/>
          <w:sz w:val="22"/>
          <w:szCs w:val="22"/>
        </w:rPr>
      </w:pPr>
    </w:p>
    <w:p w14:paraId="6F943179" w14:textId="77777777" w:rsidR="00F15E74" w:rsidRDefault="00F15E74" w:rsidP="00FD7C82">
      <w:pPr>
        <w:jc w:val="center"/>
        <w:rPr>
          <w:rStyle w:val="nfase"/>
          <w:rFonts w:ascii="Arial" w:hAnsi="Arial" w:cs="Arial"/>
          <w:b/>
          <w:i w:val="0"/>
          <w:sz w:val="22"/>
          <w:szCs w:val="22"/>
        </w:rPr>
      </w:pPr>
    </w:p>
    <w:p w14:paraId="433AD121" w14:textId="2556E324" w:rsidR="00A910F3" w:rsidRDefault="00A910F3" w:rsidP="00FD7C82">
      <w:pPr>
        <w:jc w:val="center"/>
        <w:rPr>
          <w:rStyle w:val="nfase"/>
          <w:rFonts w:ascii="Arial" w:hAnsi="Arial" w:cs="Arial"/>
          <w:b/>
          <w:i w:val="0"/>
          <w:sz w:val="22"/>
          <w:szCs w:val="22"/>
        </w:rPr>
      </w:pPr>
    </w:p>
    <w:p w14:paraId="1154A450" w14:textId="1B1E9B5C" w:rsidR="00A910F3" w:rsidRDefault="00A910F3" w:rsidP="00FD7C82">
      <w:pPr>
        <w:jc w:val="center"/>
        <w:rPr>
          <w:rStyle w:val="nfase"/>
          <w:rFonts w:ascii="Arial" w:hAnsi="Arial" w:cs="Arial"/>
          <w:b/>
          <w:i w:val="0"/>
          <w:sz w:val="22"/>
          <w:szCs w:val="22"/>
        </w:rPr>
      </w:pPr>
    </w:p>
    <w:p w14:paraId="003AC9E1" w14:textId="20A800CD" w:rsidR="00A910F3" w:rsidRDefault="00A910F3" w:rsidP="00FD7C82">
      <w:pPr>
        <w:jc w:val="center"/>
        <w:rPr>
          <w:rStyle w:val="nfase"/>
          <w:rFonts w:ascii="Arial" w:hAnsi="Arial" w:cs="Arial"/>
          <w:b/>
          <w:i w:val="0"/>
          <w:sz w:val="22"/>
          <w:szCs w:val="22"/>
        </w:rPr>
      </w:pPr>
    </w:p>
    <w:p w14:paraId="79841B6D" w14:textId="2FDB2C6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E453CC">
        <w:rPr>
          <w:rFonts w:ascii="Arial" w:hAnsi="Arial" w:cs="Arial"/>
          <w:b/>
          <w:color w:val="000000"/>
          <w:sz w:val="20"/>
          <w:szCs w:val="20"/>
        </w:rPr>
        <w:t>90027/2024</w:t>
      </w:r>
    </w:p>
    <w:p w14:paraId="1CC7C9FE" w14:textId="1CC6BBAB"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744031">
        <w:rPr>
          <w:rFonts w:ascii="Arial" w:hAnsi="Arial" w:cs="Arial"/>
          <w:bCs/>
          <w:color w:val="000000"/>
          <w:sz w:val="20"/>
          <w:szCs w:val="20"/>
        </w:rPr>
        <w:t>3.728/2024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2258B31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E4435E">
        <w:rPr>
          <w:rFonts w:ascii="Arial" w:hAnsi="Arial" w:cs="Arial"/>
          <w:b/>
          <w:color w:val="000000"/>
          <w:sz w:val="20"/>
          <w:szCs w:val="20"/>
        </w:rPr>
        <w:t>26</w:t>
      </w:r>
      <w:r w:rsidR="001F2DC3" w:rsidRPr="001F2DC3">
        <w:rPr>
          <w:rFonts w:ascii="Arial" w:hAnsi="Arial" w:cs="Arial"/>
          <w:b/>
          <w:color w:val="000000"/>
          <w:sz w:val="20"/>
          <w:szCs w:val="20"/>
        </w:rPr>
        <w:t xml:space="preserve"> de </w:t>
      </w:r>
      <w:r w:rsidR="00E4435E">
        <w:rPr>
          <w:rFonts w:ascii="Arial" w:hAnsi="Arial" w:cs="Arial"/>
          <w:b/>
          <w:color w:val="000000"/>
          <w:sz w:val="20"/>
          <w:szCs w:val="20"/>
        </w:rPr>
        <w:t xml:space="preserve">novembro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E4435E">
        <w:rPr>
          <w:rFonts w:ascii="Arial" w:hAnsi="Arial" w:cs="Arial"/>
          <w:b/>
          <w:color w:val="000000"/>
          <w:sz w:val="20"/>
          <w:szCs w:val="20"/>
        </w:rPr>
        <w:t>terça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F5D4A44" w14:textId="643F7819" w:rsidR="00BB1883" w:rsidRPr="009753A6" w:rsidRDefault="003C7A23" w:rsidP="0022299C">
      <w:pPr>
        <w:pStyle w:val="Nivel2"/>
        <w:spacing w:beforeLines="120" w:before="288" w:afterLines="120" w:after="288" w:line="312" w:lineRule="auto"/>
        <w:ind w:left="993" w:hanging="567"/>
        <w:rPr>
          <w:rFonts w:eastAsia="Times New Roman"/>
          <w:color w:val="auto"/>
        </w:rPr>
      </w:pPr>
      <w:r w:rsidRPr="00BB1883">
        <w:rPr>
          <w:rFonts w:eastAsia="Times New Roman"/>
          <w:color w:val="auto"/>
        </w:rPr>
        <w:t xml:space="preserve">O objeto da presente licitação é </w:t>
      </w:r>
      <w:r w:rsidR="00ED679C">
        <w:rPr>
          <w:rFonts w:eastAsia="Times New Roman"/>
          <w:color w:val="auto"/>
        </w:rPr>
        <w:t xml:space="preserve">a </w:t>
      </w:r>
      <w:r w:rsidR="008F7B5C">
        <w:rPr>
          <w:b/>
          <w:lang w:eastAsia="en-US"/>
        </w:rPr>
        <w:t xml:space="preserve">aquisição de </w:t>
      </w:r>
      <w:r w:rsidR="0022299C">
        <w:rPr>
          <w:b/>
          <w:lang w:eastAsia="en-US"/>
        </w:rPr>
        <w:t xml:space="preserve">mobiliários e de </w:t>
      </w:r>
      <w:r w:rsidR="008F7B5C">
        <w:rPr>
          <w:b/>
          <w:lang w:eastAsia="en-US"/>
        </w:rPr>
        <w:t xml:space="preserve">equipamentos </w:t>
      </w:r>
      <w:r w:rsidR="0022299C">
        <w:rPr>
          <w:rFonts w:ascii="CIDFont+F3" w:hAnsi="CIDFont+F3" w:cs="CIDFont+F3"/>
          <w:lang w:eastAsia="en-US"/>
        </w:rPr>
        <w:t>para o Laboratório de Inovação, Inteligência e Objetivos de Desenvolvimento Sustentável (Inovar-TRT24)</w:t>
      </w:r>
      <w:r w:rsidR="00ED679C">
        <w:rPr>
          <w:rFonts w:ascii="CIDFont+F2" w:hAnsi="CIDFont+F2" w:cs="CIDFont+F2"/>
          <w:lang w:eastAsia="en-US"/>
        </w:rPr>
        <w:t xml:space="preserve">, </w:t>
      </w:r>
      <w:r w:rsidR="00BB1883" w:rsidRPr="009753A6">
        <w:rPr>
          <w:color w:val="auto"/>
        </w:rPr>
        <w:t>conforme as especificações, quantidades e exigências estabelecidas neste Edital</w:t>
      </w:r>
      <w:r w:rsidR="00E810A5">
        <w:rPr>
          <w:color w:val="auto"/>
        </w:rPr>
        <w:t xml:space="preserve">, no Termo de Referência e </w:t>
      </w:r>
      <w:r w:rsidR="0022299C">
        <w:t>nos</w:t>
      </w:r>
      <w:r w:rsidR="00E810A5">
        <w:rPr>
          <w:color w:val="auto"/>
        </w:rPr>
        <w:t xml:space="preserve"> Anexos</w:t>
      </w:r>
      <w:r w:rsidR="00BB1883" w:rsidRPr="009753A6">
        <w:rPr>
          <w:color w:val="auto"/>
        </w:rPr>
        <w:t>.</w:t>
      </w:r>
    </w:p>
    <w:p w14:paraId="63D41FBE" w14:textId="77777777"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A licitação será dividida</w:t>
      </w:r>
      <w:r>
        <w:t xml:space="preserve"> em itens e grupo, </w:t>
      </w:r>
      <w:r w:rsidRPr="00A1772D">
        <w:t>conforme tabela constante do Termo de Referência, facultando-se ao licitante a participação em quant</w:t>
      </w:r>
      <w:r>
        <w:t>os itens ou grupos forem de seu interesse, d</w:t>
      </w:r>
      <w:r w:rsidRPr="006E1990">
        <w:t xml:space="preserve">evendo </w:t>
      </w:r>
      <w:r>
        <w:t xml:space="preserve">a licitante </w:t>
      </w:r>
      <w:r w:rsidRPr="006E1990">
        <w:t>oferecer proposta p</w:t>
      </w:r>
      <w:r>
        <w:t>ara todos os itens que o compõem o grupo.</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w:t>
      </w:r>
      <w:r w:rsidRPr="00F01F71">
        <w:rPr>
          <w:rFonts w:eastAsia="Times New Roman"/>
          <w:color w:val="auto"/>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7BF1F658" w14:textId="4D90236A" w:rsidR="00DB6355" w:rsidRPr="00DB6355" w:rsidRDefault="00967539" w:rsidP="00DB6355">
      <w:pPr>
        <w:pStyle w:val="Nivel2"/>
        <w:spacing w:beforeLines="120" w:before="288" w:afterLines="120" w:after="288" w:line="312" w:lineRule="auto"/>
        <w:ind w:left="993" w:hanging="567"/>
        <w:rPr>
          <w:rFonts w:eastAsia="Times New Roman"/>
          <w:color w:val="auto"/>
        </w:rPr>
      </w:pPr>
      <w:r w:rsidRPr="00DB6355">
        <w:rPr>
          <w:rFonts w:eastAsia="Times New Roman"/>
          <w:color w:val="auto"/>
        </w:rPr>
        <w:t>A</w:t>
      </w:r>
      <w:r w:rsidR="00781952" w:rsidRPr="00DB6355">
        <w:rPr>
          <w:rFonts w:eastAsia="Times New Roman"/>
          <w:color w:val="auto"/>
        </w:rPr>
        <w:t xml:space="preserve"> </w:t>
      </w:r>
      <w:r w:rsidR="00DD628D" w:rsidRPr="00DB6355">
        <w:rPr>
          <w:rFonts w:eastAsia="Times New Roman"/>
          <w:color w:val="auto"/>
        </w:rPr>
        <w:t xml:space="preserve">participação neste Pregão </w:t>
      </w:r>
      <w:r w:rsidR="00DD628D" w:rsidRPr="00217288">
        <w:rPr>
          <w:rFonts w:eastAsia="Times New Roman"/>
          <w:b/>
          <w:color w:val="auto"/>
        </w:rPr>
        <w:t xml:space="preserve">é exclusiva </w:t>
      </w:r>
      <w:r w:rsidR="00A033B3">
        <w:rPr>
          <w:rFonts w:eastAsia="Times New Roman"/>
          <w:color w:val="auto"/>
        </w:rPr>
        <w:t xml:space="preserve">para </w:t>
      </w:r>
      <w:r w:rsidR="00DD628D" w:rsidRPr="00DB6355">
        <w:rPr>
          <w:rFonts w:eastAsia="Times New Roman"/>
          <w:color w:val="auto"/>
        </w:rPr>
        <w:t>a</w:t>
      </w:r>
      <w:r w:rsidR="00A033B3">
        <w:rPr>
          <w:rFonts w:eastAsia="Times New Roman"/>
          <w:color w:val="auto"/>
        </w:rPr>
        <w:t>s</w:t>
      </w:r>
      <w:r w:rsidR="00DD628D" w:rsidRPr="00DB6355">
        <w:rPr>
          <w:rFonts w:eastAsia="Times New Roman"/>
          <w:color w:val="auto"/>
        </w:rPr>
        <w:t xml:space="preserve"> microempresas e empresas de pequeno porte,</w:t>
      </w:r>
      <w:r w:rsidR="00A033B3">
        <w:rPr>
          <w:rFonts w:eastAsia="Times New Roman"/>
          <w:color w:val="auto"/>
        </w:rPr>
        <w:t xml:space="preserve"> </w:t>
      </w:r>
      <w:r w:rsidR="00A033B3" w:rsidRPr="00BF7478">
        <w:rPr>
          <w:color w:val="auto"/>
        </w:rPr>
        <w:t xml:space="preserve">para as sociedades cooperativas </w:t>
      </w:r>
      <w:r w:rsidR="00A033B3" w:rsidRPr="00BF7478">
        <w:rPr>
          <w:rFonts w:eastAsia="Times New Roman"/>
          <w:color w:val="auto"/>
        </w:rPr>
        <w:t xml:space="preserve">mencionadas no artigo </w:t>
      </w:r>
      <w:r w:rsidR="00A033B3" w:rsidRPr="00BF7478">
        <w:rPr>
          <w:color w:val="auto"/>
        </w:rPr>
        <w:t>16 da Lei nº 14</w:t>
      </w:r>
      <w:r w:rsidR="00A033B3" w:rsidRPr="00160615">
        <w:t>.133</w:t>
      </w:r>
      <w:r w:rsidR="00A033B3">
        <w:t xml:space="preserve">/2021 </w:t>
      </w:r>
      <w:r w:rsidR="00A033B3" w:rsidRPr="00D979DE">
        <w:rPr>
          <w:color w:val="auto"/>
        </w:rPr>
        <w:t xml:space="preserve">e para o microempreendedor individual </w:t>
      </w:r>
      <w:r w:rsidR="00A033B3">
        <w:rPr>
          <w:color w:val="auto"/>
        </w:rPr>
        <w:t>–</w:t>
      </w:r>
      <w:r w:rsidR="00A033B3" w:rsidRPr="00D979DE">
        <w:rPr>
          <w:color w:val="auto"/>
        </w:rPr>
        <w:t xml:space="preserve"> MEI</w:t>
      </w:r>
      <w:r w:rsidR="00A033B3">
        <w:rPr>
          <w:color w:val="auto"/>
        </w:rPr>
        <w:t xml:space="preserve">, </w:t>
      </w:r>
      <w:r w:rsidR="00DB6355" w:rsidRPr="00DB6355">
        <w:rPr>
          <w:rFonts w:eastAsia="Times New Roman"/>
          <w:color w:val="auto"/>
        </w:rPr>
        <w:t xml:space="preserve">observado o tratamento favorecido </w:t>
      </w:r>
      <w:r w:rsidR="00E83B9F">
        <w:rPr>
          <w:rFonts w:eastAsia="Times New Roman"/>
          <w:color w:val="auto"/>
        </w:rPr>
        <w:t>mencionado</w:t>
      </w:r>
      <w:r w:rsidR="00DB6355" w:rsidRPr="00DB6355">
        <w:rPr>
          <w:rFonts w:eastAsia="Times New Roman"/>
          <w:color w:val="auto"/>
        </w:rPr>
        <w:t xml:space="preserve">s no </w:t>
      </w:r>
      <w:r w:rsidR="00A033B3">
        <w:rPr>
          <w:rFonts w:eastAsia="Times New Roman"/>
          <w:color w:val="auto"/>
        </w:rPr>
        <w:t xml:space="preserve">referido </w:t>
      </w:r>
      <w:r w:rsidR="00DB6355" w:rsidRPr="00DB6355">
        <w:rPr>
          <w:rFonts w:eastAsia="Times New Roman"/>
          <w:color w:val="auto"/>
        </w:rPr>
        <w:t xml:space="preserve">artigo, nos limites previstos da Lei Complementar nº 123/2006 e </w:t>
      </w:r>
      <w:r w:rsidR="00E83B9F">
        <w:rPr>
          <w:rFonts w:eastAsia="Times New Roman"/>
          <w:color w:val="auto"/>
        </w:rPr>
        <w:t>n</w:t>
      </w:r>
      <w:r w:rsidR="00DB6355" w:rsidRPr="00DB6355">
        <w:rPr>
          <w:rFonts w:eastAsia="Times New Roman"/>
          <w:color w:val="auto"/>
        </w:rPr>
        <w:t>o Decreto nº 8.538/2015.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lastRenderedPageBreak/>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Default="003C7A23" w:rsidP="00F01F71">
      <w:pPr>
        <w:pStyle w:val="Nivel2"/>
        <w:spacing w:beforeLines="120" w:before="288" w:afterLines="120" w:after="288" w:line="312" w:lineRule="auto"/>
        <w:ind w:left="993" w:hanging="567"/>
      </w:pPr>
      <w:r w:rsidRPr="006E1990">
        <w:lastRenderedPageBreak/>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lastRenderedPageBreak/>
        <w:t xml:space="preserve">Valor unitário </w:t>
      </w:r>
      <w:r w:rsidR="00A621CD">
        <w:t>e total do item</w:t>
      </w:r>
      <w:r w:rsidR="004C1C4F">
        <w:t>;</w:t>
      </w:r>
    </w:p>
    <w:p w14:paraId="071D69DF" w14:textId="058C0B04" w:rsidR="004C1C4F" w:rsidRPr="00EA6903" w:rsidRDefault="00B90186" w:rsidP="003545B4">
      <w:pPr>
        <w:pStyle w:val="Nivel2"/>
        <w:numPr>
          <w:ilvl w:val="2"/>
          <w:numId w:val="1"/>
        </w:numPr>
        <w:autoSpaceDE w:val="0"/>
        <w:snapToGrid w:val="0"/>
        <w:spacing w:beforeLines="120" w:before="288" w:afterLines="120" w:after="288" w:line="312" w:lineRule="auto"/>
        <w:ind w:left="1701" w:hanging="708"/>
      </w:pPr>
      <w:r>
        <w:t>Marca, Modelo e Fabricante.</w:t>
      </w:r>
    </w:p>
    <w:p w14:paraId="1BF93643" w14:textId="23A7CDB9" w:rsidR="00DC7466" w:rsidRPr="00EA6903" w:rsidRDefault="00F63A6E" w:rsidP="00DB6355">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CB3DF4">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CB3DF4">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268967A4"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estabelecidos </w:t>
      </w:r>
      <w:r w:rsidR="006667B7">
        <w:t xml:space="preserve">no Anexo I do Termo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lastRenderedPageBreak/>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6D12AD4"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MENOR PREÇO POR ITEM E POR 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E3AB66B" w14:textId="77777777" w:rsidR="00737B6B" w:rsidRPr="006E1990" w:rsidRDefault="00737B6B" w:rsidP="00737B6B">
      <w:pPr>
        <w:pStyle w:val="Nivel2"/>
        <w:spacing w:beforeLines="120" w:before="288" w:afterLines="120" w:after="288" w:line="312" w:lineRule="auto"/>
        <w:ind w:left="993" w:hanging="567"/>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637E2F2F" w14:textId="77777777" w:rsidR="003B5548" w:rsidRDefault="003B5548" w:rsidP="003B5548">
      <w:pPr>
        <w:pStyle w:val="Nivel2"/>
        <w:numPr>
          <w:ilvl w:val="2"/>
          <w:numId w:val="1"/>
        </w:numPr>
        <w:autoSpaceDE w:val="0"/>
        <w:snapToGrid w:val="0"/>
        <w:spacing w:beforeLines="120" w:before="288" w:afterLines="120" w:after="288" w:line="312" w:lineRule="auto"/>
        <w:ind w:left="1701" w:hanging="708"/>
      </w:pPr>
      <w:r w:rsidRPr="00F273C3">
        <w:t xml:space="preserve">Permanecendo empate após aplicação de todos os critérios de desempate de que trata o caput, proceder-se-á a sorteio das propostas empatadas a ser realizado em ato público, para o qual todos os licitantes serão convocados, vedado qualquer outro processo. </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0"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1"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2"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3"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4"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5"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6"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0"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7"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8"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9" w:anchor="art64" w:history="1">
        <w:r w:rsidRPr="00851DB7">
          <w:t>Lei 14.133/21, art. 64</w:t>
        </w:r>
      </w:hyperlink>
      <w:r w:rsidRPr="006E1990">
        <w:t xml:space="preserve">, e </w:t>
      </w:r>
      <w:hyperlink r:id="rId30"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1"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2"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lastRenderedPageBreak/>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3" w:anchor="art5" w:history="1">
        <w:r w:rsidR="009C5FE4">
          <w:t>art. 5º da Lei n.º 12.846/</w:t>
        </w:r>
        <w:r w:rsidR="003C7A23" w:rsidRPr="009C5FE4">
          <w:t>2013</w:t>
        </w:r>
      </w:hyperlink>
      <w:r w:rsidR="003C7A23" w:rsidRPr="006E1990">
        <w:t>.</w:t>
      </w:r>
      <w:bookmarkEnd w:id="47"/>
    </w:p>
    <w:bookmarkEnd w:id="40"/>
    <w:p w14:paraId="5F9FF442" w14:textId="548CC067"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a Administração poderá, garantida a prévia defesa, aplicar aos licitantes e/ou adjudicatários as seguintes sanções, sem prejuízo das responsabilidades civil e criminal</w:t>
      </w:r>
      <w:r w:rsidR="003B0D89">
        <w:t>, observada instauração de processo administrativo</w:t>
      </w:r>
      <w:r w:rsidRPr="006E1990">
        <w:t xml:space="preserve">: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 xml:space="preserve">quando não se justificar a imposição de penalidade mais grave, e impedirá o responsável de licitar e contratar no </w:t>
      </w:r>
      <w:r w:rsidRPr="006E1990">
        <w:lastRenderedPageBreak/>
        <w:t>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4"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5"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lastRenderedPageBreak/>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6"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lastRenderedPageBreak/>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7"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8" w:history="1">
        <w:r w:rsidRPr="00E2113B">
          <w:rPr>
            <w:rStyle w:val="Hyperlink"/>
          </w:rPr>
          <w:t>licitacao@trt24.jus.br</w:t>
        </w:r>
      </w:hyperlink>
      <w:r>
        <w:t xml:space="preserve">. </w:t>
      </w:r>
    </w:p>
    <w:p w14:paraId="3F5E57F7" w14:textId="17C1B61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w:t>
      </w:r>
      <w:r w:rsidR="00EB4B4C">
        <w:t>os Anexos</w:t>
      </w:r>
      <w:r w:rsidR="00B411F2">
        <w:t xml:space="preserve">. </w:t>
      </w:r>
    </w:p>
    <w:p w14:paraId="27BF3C44" w14:textId="2EB2A7E1"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761CD1">
        <w:t xml:space="preserve">6 de novembro </w:t>
      </w:r>
      <w:r w:rsidRPr="00516103">
        <w:t>de 202</w:t>
      </w:r>
      <w:r w:rsidR="00E9181D">
        <w:t>4</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9"/>
      <w:footerReference w:type="default" r:id="rId40"/>
      <w:headerReference w:type="first" r:id="rId41"/>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6CD68" w14:textId="77777777" w:rsidR="004E7711" w:rsidRDefault="004E7711">
      <w:r>
        <w:separator/>
      </w:r>
    </w:p>
  </w:endnote>
  <w:endnote w:type="continuationSeparator" w:id="0">
    <w:p w14:paraId="39BE3701" w14:textId="77777777" w:rsidR="004E7711" w:rsidRDefault="004E7711">
      <w:r>
        <w:continuationSeparator/>
      </w:r>
    </w:p>
  </w:endnote>
  <w:endnote w:type="continuationNotice" w:id="1">
    <w:p w14:paraId="2A65CFB4" w14:textId="77777777" w:rsidR="004E7711" w:rsidRDefault="004E7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691C96E"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A4C65">
          <w:rPr>
            <w:noProof/>
            <w:sz w:val="18"/>
            <w:szCs w:val="18"/>
          </w:rPr>
          <w:t>17</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A4C65">
          <w:rPr>
            <w:noProof/>
            <w:sz w:val="18"/>
            <w:szCs w:val="18"/>
          </w:rPr>
          <w:t>18</w:t>
        </w:r>
        <w:r w:rsidRPr="00E12671">
          <w:rPr>
            <w:sz w:val="18"/>
            <w:szCs w:val="18"/>
          </w:rPr>
          <w:fldChar w:fldCharType="end"/>
        </w:r>
      </w:p>
      <w:p w14:paraId="239342FA" w14:textId="1DAA0501" w:rsidR="00FC0D1F" w:rsidRPr="00244403" w:rsidRDefault="004E7711"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1E8BF" w14:textId="77777777" w:rsidR="004E7711" w:rsidRDefault="004E7711">
      <w:r>
        <w:separator/>
      </w:r>
    </w:p>
  </w:footnote>
  <w:footnote w:type="continuationSeparator" w:id="0">
    <w:p w14:paraId="5588BDBF" w14:textId="77777777" w:rsidR="004E7711" w:rsidRDefault="004E7711">
      <w:r>
        <w:continuationSeparator/>
      </w:r>
    </w:p>
  </w:footnote>
  <w:footnote w:type="continuationNotice" w:id="1">
    <w:p w14:paraId="3F7DA2B1" w14:textId="77777777" w:rsidR="004E7711" w:rsidRDefault="004E771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F921D9B" w14:textId="77777777" w:rsidR="009365A9" w:rsidRPr="009365A9" w:rsidRDefault="009365A9" w:rsidP="009365A9">
    <w:pPr>
      <w:rPr>
        <w:rFonts w:ascii="Courier New" w:hAnsi="Courier New" w:cs="Courier New"/>
        <w:sz w:val="20"/>
        <w:szCs w:val="20"/>
      </w:rPr>
    </w:pPr>
    <w:r w:rsidRPr="009365A9">
      <w:rPr>
        <w:rFonts w:ascii="Courier New" w:hAnsi="Courier New" w:cs="Courier New"/>
        <w:sz w:val="20"/>
        <w:szCs w:val="20"/>
      </w:rPr>
      <w:t>Pregão Eletrônico nº 90027/2024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3A07BED3"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 nº 90027/2024</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2272FE2"/>
    <w:multiLevelType w:val="hybridMultilevel"/>
    <w:tmpl w:val="53EAC1CC"/>
    <w:lvl w:ilvl="0" w:tplc="6C020672">
      <w:start w:val="1"/>
      <w:numFmt w:val="lowerLetter"/>
      <w:lvlText w:val="%1)"/>
      <w:lvlJc w:val="left"/>
      <w:pPr>
        <w:ind w:left="720" w:hanging="360"/>
      </w:pPr>
      <w:rPr>
        <w:rFonts w:ascii="Courier New" w:hAnsi="Courier New" w:cs="Courier New"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4AF5057"/>
    <w:multiLevelType w:val="multilevel"/>
    <w:tmpl w:val="C78263FE"/>
    <w:lvl w:ilvl="0">
      <w:start w:val="12"/>
      <w:numFmt w:val="decimal"/>
      <w:lvlText w:val="%1"/>
      <w:lvlJc w:val="left"/>
      <w:pPr>
        <w:ind w:left="552" w:hanging="552"/>
      </w:pPr>
      <w:rPr>
        <w:rFonts w:hint="default"/>
      </w:rPr>
    </w:lvl>
    <w:lvl w:ilvl="1">
      <w:start w:val="9"/>
      <w:numFmt w:val="decimal"/>
      <w:lvlText w:val="%1.%2"/>
      <w:lvlJc w:val="left"/>
      <w:pPr>
        <w:ind w:left="1272" w:hanging="55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EE515DD"/>
    <w:multiLevelType w:val="multilevel"/>
    <w:tmpl w:val="0436F91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4"/>
  </w:num>
  <w:num w:numId="4">
    <w:abstractNumId w:val="15"/>
  </w:num>
  <w:num w:numId="5">
    <w:abstractNumId w:val="11"/>
  </w:num>
  <w:num w:numId="6">
    <w:abstractNumId w:val="5"/>
  </w:num>
  <w:num w:numId="7">
    <w:abstractNumId w:val="12"/>
  </w:num>
  <w:num w:numId="8">
    <w:abstractNumId w:val="13"/>
  </w:num>
  <w:num w:numId="9">
    <w:abstractNumId w:val="10"/>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9"/>
  </w:num>
  <w:num w:numId="30">
    <w:abstractNumId w:val="2"/>
  </w:num>
  <w:num w:numId="31">
    <w:abstractNumId w:val="7"/>
  </w:num>
  <w:num w:numId="32">
    <w:abstractNumId w:val="2"/>
  </w:num>
  <w:num w:numId="33">
    <w:abstractNumId w:val="2"/>
  </w:num>
  <w:num w:numId="34">
    <w:abstractNumId w:val="2"/>
  </w:num>
  <w:num w:numId="35">
    <w:abstractNumId w:val="2"/>
  </w:num>
  <w:num w:numId="36">
    <w:abstractNumId w:val="2"/>
  </w:num>
  <w:num w:numId="37">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ortaltransparencia.gov.br/sancoes/cnep"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mailto:licitacao@trt24.jus.br"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ortaltransparencia.gov.br/sancoes/ceis"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compras.gov/compra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planalto.gov.br/ccivil_03/_ato2015-2018/2015/decreto/d8538.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42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0A8A14D1-9103-487A-84D2-DAD11F84A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6769</Words>
  <Characters>36555</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2024-10-08T13:41:00Z</dcterms:created>
  <dcterms:modified xsi:type="dcterms:W3CDTF">2024-11-06T12:26:00Z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